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8" w:type="dxa"/>
        <w:tblLayout w:type="fixed"/>
        <w:tblLook w:val="0000" w:firstRow="0" w:lastRow="0" w:firstColumn="0" w:lastColumn="0" w:noHBand="0" w:noVBand="0"/>
      </w:tblPr>
      <w:tblGrid>
        <w:gridCol w:w="3652"/>
        <w:gridCol w:w="6136"/>
      </w:tblGrid>
      <w:tr w:rsidR="00522CED" w:rsidRPr="00C23437" w14:paraId="58883959" w14:textId="77777777" w:rsidTr="004B4862">
        <w:trPr>
          <w:trHeight w:val="1183"/>
        </w:trPr>
        <w:tc>
          <w:tcPr>
            <w:tcW w:w="3652" w:type="dxa"/>
            <w:shd w:val="clear" w:color="auto" w:fill="auto"/>
          </w:tcPr>
          <w:p w14:paraId="5BC68837" w14:textId="0213DD81" w:rsidR="00522CED" w:rsidRPr="00815726" w:rsidRDefault="00815726" w:rsidP="0081572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1572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UBND TỈNH ĐỔNG THÁP</w:t>
            </w:r>
          </w:p>
          <w:p w14:paraId="6A64897C" w14:textId="16C2808A" w:rsidR="00522CED" w:rsidRPr="00815726" w:rsidRDefault="00815726" w:rsidP="0081572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815726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SỞ LAO ĐỘNG – TB&amp;XH</w:t>
            </w:r>
          </w:p>
          <w:p w14:paraId="6B098685" w14:textId="475C7B9D" w:rsidR="004674F6" w:rsidRDefault="004674F6" w:rsidP="008D2B41">
            <w:pPr>
              <w:spacing w:before="120"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pict w14:anchorId="195AEF4B">
                <v:line id="_x0000_s1030" style="position:absolute;left:0;text-align:left;z-index:251661312" from="56.75pt,4pt" to="116.7pt,4pt"/>
              </w:pic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Số:         /SLĐTBXH-LĐVLBH</w:t>
            </w:r>
          </w:p>
          <w:p w14:paraId="0F86DF17" w14:textId="76D6E99B" w:rsidR="00522CED" w:rsidRPr="004674F6" w:rsidRDefault="004B4862" w:rsidP="004674F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7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V/v báo cáo tình hình thực hiện</w:t>
            </w:r>
          </w:p>
          <w:p w14:paraId="2DFB3C47" w14:textId="0F66EB3E" w:rsidR="004B4862" w:rsidRPr="00522CED" w:rsidRDefault="004B4862" w:rsidP="004674F6">
            <w:pPr>
              <w:spacing w:after="0" w:line="240" w:lineRule="atLeast"/>
              <w:ind w:right="-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Nghị quyết số 11/NQ-CP</w:t>
            </w:r>
            <w:r w:rsidR="00815726" w:rsidRPr="00467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136" w:type="dxa"/>
          </w:tcPr>
          <w:p w14:paraId="1A444EA8" w14:textId="77777777" w:rsidR="00522CED" w:rsidRPr="00522CED" w:rsidRDefault="00522CED" w:rsidP="006E5090">
            <w:pPr>
              <w:pStyle w:val="Heading3"/>
              <w:spacing w:line="240" w:lineRule="atLeast"/>
              <w:ind w:left="-345" w:firstLine="280"/>
              <w:rPr>
                <w:rFonts w:ascii="Times New Roman" w:hAnsi="Times New Roman"/>
                <w:sz w:val="28"/>
                <w:szCs w:val="28"/>
              </w:rPr>
            </w:pPr>
            <w:r w:rsidRPr="00522CED">
              <w:rPr>
                <w:rFonts w:ascii="Times New Roman" w:hAnsi="Times New Roman"/>
                <w:sz w:val="28"/>
                <w:szCs w:val="28"/>
              </w:rPr>
              <w:t>CỘNG HÒA XÃ HỘI CHỦ NGHĨA VIỆT NAM</w:t>
            </w:r>
          </w:p>
          <w:p w14:paraId="498A34DC" w14:textId="77777777" w:rsidR="00522CED" w:rsidRPr="00522CED" w:rsidRDefault="00522CED" w:rsidP="006E5090">
            <w:pPr>
              <w:pStyle w:val="Heading2"/>
              <w:spacing w:line="240" w:lineRule="atLeast"/>
              <w:jc w:val="center"/>
              <w:rPr>
                <w:rFonts w:ascii="Times New Roman" w:hAnsi="Times New Roman"/>
                <w:szCs w:val="28"/>
              </w:rPr>
            </w:pPr>
            <w:r w:rsidRPr="00522CED">
              <w:rPr>
                <w:rFonts w:ascii="Times New Roman" w:hAnsi="Times New Roman"/>
                <w:szCs w:val="28"/>
              </w:rPr>
              <w:t>Độc lập - Tự do - Hạnh phúc</w:t>
            </w:r>
          </w:p>
          <w:p w14:paraId="561AADBE" w14:textId="5F7497B8" w:rsidR="00522CED" w:rsidRPr="00522CED" w:rsidRDefault="0069622C" w:rsidP="006E5090">
            <w:pPr>
              <w:spacing w:before="12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509AC00D">
                <v:line id="_x0000_s1029" style="position:absolute;left:0;text-align:left;z-index:251660288" from="62.9pt,1.7pt" to="232.2pt,1.7pt"/>
              </w:pict>
            </w:r>
            <w:r w:rsidR="00522CED" w:rsidRPr="00522C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Đồng Tháp, ngày </w:t>
            </w:r>
            <w:r w:rsidR="0081572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   </w:t>
            </w:r>
            <w:r w:rsidR="00522CED" w:rsidRPr="00522C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tháng </w:t>
            </w:r>
            <w:r w:rsidR="0081572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5</w:t>
            </w:r>
            <w:r w:rsidR="00522CED" w:rsidRPr="00522C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năm 2022</w:t>
            </w:r>
          </w:p>
        </w:tc>
      </w:tr>
    </w:tbl>
    <w:p w14:paraId="4B7C9435" w14:textId="1DD0D116" w:rsidR="00144EC0" w:rsidRDefault="00144EC0" w:rsidP="004674F6">
      <w:pPr>
        <w:tabs>
          <w:tab w:val="center" w:pos="-3240"/>
          <w:tab w:val="left" w:pos="-3060"/>
          <w:tab w:val="left" w:pos="0"/>
        </w:tabs>
        <w:adjustRightInd w:val="0"/>
        <w:snapToGri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</w:r>
      <w:r>
        <w:rPr>
          <w:rFonts w:ascii="Times New Roman" w:hAnsi="Times New Roman" w:cs="Times New Roman"/>
          <w:sz w:val="28"/>
          <w:szCs w:val="28"/>
          <w:lang w:val="nl-NL"/>
        </w:rPr>
        <w:tab/>
        <w:t>Kính gửi: Sở Kế hoạch và Đầu tư</w:t>
      </w:r>
    </w:p>
    <w:p w14:paraId="302AF088" w14:textId="77777777" w:rsidR="00144EC0" w:rsidRPr="001337F2" w:rsidRDefault="00144EC0" w:rsidP="00FD7B3B">
      <w:pPr>
        <w:tabs>
          <w:tab w:val="center" w:pos="-3240"/>
          <w:tab w:val="left" w:pos="-3060"/>
          <w:tab w:val="left" w:pos="0"/>
        </w:tabs>
        <w:adjustRightInd w:val="0"/>
        <w:snapToGrid w:val="0"/>
        <w:spacing w:after="0"/>
        <w:ind w:firstLine="709"/>
        <w:jc w:val="both"/>
        <w:rPr>
          <w:rFonts w:ascii="Times New Roman" w:hAnsi="Times New Roman" w:cs="Times New Roman"/>
          <w:sz w:val="18"/>
          <w:szCs w:val="18"/>
          <w:lang w:val="nl-NL"/>
        </w:rPr>
      </w:pPr>
    </w:p>
    <w:p w14:paraId="4D472C93" w14:textId="580209D7" w:rsidR="00505D96" w:rsidRDefault="00513CC0" w:rsidP="00CE3196">
      <w:pPr>
        <w:tabs>
          <w:tab w:val="center" w:pos="-3240"/>
          <w:tab w:val="left" w:pos="-3060"/>
          <w:tab w:val="left" w:pos="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Thực hiện ý kiến chỉ đạo chủ Chủ tịch UBND Tỉnh tại</w:t>
      </w:r>
      <w:r w:rsidR="00144EC0">
        <w:rPr>
          <w:rFonts w:ascii="Times New Roman" w:hAnsi="Times New Roman" w:cs="Times New Roman"/>
          <w:sz w:val="28"/>
          <w:szCs w:val="28"/>
          <w:lang w:val="nl-NL"/>
        </w:rPr>
        <w:t xml:space="preserve"> Công văn số 811/VPUBND-THVX ngày 17/5/2022 của Văn phòng 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UBND </w:t>
      </w:r>
      <w:r w:rsidR="00144EC0">
        <w:rPr>
          <w:rFonts w:ascii="Times New Roman" w:hAnsi="Times New Roman" w:cs="Times New Roman"/>
          <w:sz w:val="28"/>
          <w:szCs w:val="28"/>
          <w:lang w:val="nl-NL"/>
        </w:rPr>
        <w:t>Tỉnh về việc báo cáo tình hình thực hiện Nghị quyết số 11/NQ-CP ngày 30/01/2022 của Chính phủ về Chương trình phục hồi và phát triển kinh tế - xã hội</w:t>
      </w:r>
      <w:r>
        <w:rPr>
          <w:rFonts w:ascii="Times New Roman" w:hAnsi="Times New Roman" w:cs="Times New Roman"/>
          <w:sz w:val="28"/>
          <w:szCs w:val="28"/>
          <w:lang w:val="nl-NL"/>
        </w:rPr>
        <w:t xml:space="preserve">, gửi </w:t>
      </w:r>
      <w:r>
        <w:rPr>
          <w:rFonts w:ascii="Times New Roman" w:hAnsi="Times New Roman" w:cs="Times New Roman"/>
          <w:sz w:val="28"/>
          <w:szCs w:val="28"/>
          <w:lang w:val="en-US"/>
        </w:rPr>
        <w:t>Sở Kế hoạch và Đầu tư tổng hợp</w:t>
      </w:r>
      <w:r w:rsidR="00505D96">
        <w:rPr>
          <w:rFonts w:ascii="Times New Roman" w:hAnsi="Times New Roman" w:cs="Times New Roman"/>
          <w:sz w:val="28"/>
          <w:szCs w:val="28"/>
          <w:lang w:val="nl-NL"/>
        </w:rPr>
        <w:t xml:space="preserve">; </w:t>
      </w:r>
      <w:r w:rsidR="00FD4C25">
        <w:rPr>
          <w:rFonts w:ascii="Times New Roman" w:hAnsi="Times New Roman" w:cs="Times New Roman"/>
          <w:sz w:val="28"/>
          <w:szCs w:val="28"/>
          <w:lang w:val="nl-NL"/>
        </w:rPr>
        <w:t>Sở Lao động – T</w:t>
      </w:r>
      <w:r w:rsidR="00603070">
        <w:rPr>
          <w:rFonts w:ascii="Times New Roman" w:hAnsi="Times New Roman" w:cs="Times New Roman"/>
          <w:sz w:val="28"/>
          <w:szCs w:val="28"/>
          <w:lang w:val="nl-NL"/>
        </w:rPr>
        <w:t>B&amp;XH</w:t>
      </w:r>
      <w:r w:rsidR="00FD4C25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505D96">
        <w:rPr>
          <w:rFonts w:ascii="Times New Roman" w:hAnsi="Times New Roman" w:cs="Times New Roman"/>
          <w:sz w:val="28"/>
          <w:szCs w:val="28"/>
          <w:lang w:val="nl-NL"/>
        </w:rPr>
        <w:t>báo cáo tình hình thực hiện Nghị quyết số 11/NQ-CP theo chức năng, nhiệm vụ của ngành như sau:</w:t>
      </w:r>
    </w:p>
    <w:p w14:paraId="2DF24DAE" w14:textId="0CA741A2" w:rsidR="00AB594C" w:rsidRPr="00AB594C" w:rsidRDefault="00AB594C" w:rsidP="001337F2">
      <w:pPr>
        <w:tabs>
          <w:tab w:val="center" w:pos="-3240"/>
          <w:tab w:val="left" w:pos="-3060"/>
          <w:tab w:val="left" w:pos="0"/>
        </w:tabs>
        <w:adjustRightInd w:val="0"/>
        <w:snapToGri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nl-NL"/>
        </w:rPr>
      </w:pPr>
      <w:r w:rsidRPr="00AB594C">
        <w:rPr>
          <w:rFonts w:ascii="Times New Roman" w:hAnsi="Times New Roman" w:cs="Times New Roman"/>
          <w:b/>
          <w:bCs/>
          <w:sz w:val="28"/>
          <w:szCs w:val="28"/>
          <w:lang w:val="nl-NL"/>
        </w:rPr>
        <w:t xml:space="preserve">1. Công tác triển khai </w:t>
      </w:r>
    </w:p>
    <w:p w14:paraId="761C31F8" w14:textId="495366B0" w:rsidR="00CE3196" w:rsidRDefault="00B54488" w:rsidP="00CE3196">
      <w:pPr>
        <w:tabs>
          <w:tab w:val="center" w:pos="-3240"/>
          <w:tab w:val="left" w:pos="-3060"/>
          <w:tab w:val="left" w:pos="0"/>
        </w:tabs>
        <w:adjustRightInd w:val="0"/>
        <w:snapToGrid w:val="0"/>
        <w:spacing w:after="0" w:line="240" w:lineRule="auto"/>
        <w:ind w:firstLine="709"/>
        <w:jc w:val="both"/>
        <w:rPr>
          <w:rStyle w:val="fontstyle01"/>
          <w:lang w:val="en-US"/>
        </w:rPr>
      </w:pPr>
      <w:r>
        <w:rPr>
          <w:rStyle w:val="fontstyle01"/>
        </w:rPr>
        <w:t>Thực hiện Công văn số 233/VPUBND-THVX ngày 09</w:t>
      </w:r>
      <w:r>
        <w:rPr>
          <w:rStyle w:val="fontstyle01"/>
          <w:lang w:val="en-US"/>
        </w:rPr>
        <w:t>/</w:t>
      </w:r>
      <w:r>
        <w:rPr>
          <w:rStyle w:val="fontstyle01"/>
        </w:rPr>
        <w:t>02</w:t>
      </w:r>
      <w:r>
        <w:rPr>
          <w:rStyle w:val="fontstyle01"/>
          <w:lang w:val="en-US"/>
        </w:rPr>
        <w:t>/</w:t>
      </w:r>
      <w:r>
        <w:rPr>
          <w:rStyle w:val="fontstyle01"/>
        </w:rPr>
        <w:t>2022</w:t>
      </w:r>
      <w:r>
        <w:rPr>
          <w:rStyle w:val="fontstyle01"/>
          <w:lang w:val="en-US"/>
        </w:rPr>
        <w:t xml:space="preserve"> </w:t>
      </w:r>
      <w:r>
        <w:rPr>
          <w:rStyle w:val="fontstyle01"/>
        </w:rPr>
        <w:t>của Văp phòng U</w:t>
      </w:r>
      <w:r w:rsidR="00CB0056">
        <w:rPr>
          <w:rStyle w:val="fontstyle01"/>
          <w:lang w:val="en-US"/>
        </w:rPr>
        <w:t>BND</w:t>
      </w:r>
      <w:r>
        <w:rPr>
          <w:rStyle w:val="fontstyle01"/>
        </w:rPr>
        <w:t xml:space="preserve"> Tỉnh, về việc tham mưu thực hiện Nghị quyết</w:t>
      </w:r>
      <w:r w:rsidR="00CB0056">
        <w:rPr>
          <w:rStyle w:val="fontstyle01"/>
          <w:lang w:val="en-US"/>
        </w:rPr>
        <w:t xml:space="preserve"> </w:t>
      </w:r>
      <w:r>
        <w:rPr>
          <w:rStyle w:val="fontstyle01"/>
        </w:rPr>
        <w:t>của Chính phủ về Chương trình phục hồi và phát triển kinh tế - xã hội</w:t>
      </w:r>
      <w:r w:rsidR="00CB0056">
        <w:rPr>
          <w:rStyle w:val="fontstyle01"/>
          <w:lang w:val="en-US"/>
        </w:rPr>
        <w:t>;</w:t>
      </w:r>
      <w:r w:rsidR="00AB594C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CB0056">
        <w:rPr>
          <w:rFonts w:ascii="Times New Roman" w:hAnsi="Times New Roman" w:cs="Times New Roman"/>
          <w:sz w:val="28"/>
          <w:szCs w:val="28"/>
          <w:lang w:val="nl-NL"/>
        </w:rPr>
        <w:t xml:space="preserve">ngày 15/02/2022 </w:t>
      </w:r>
      <w:r w:rsidR="004E488C">
        <w:rPr>
          <w:rFonts w:ascii="Times New Roman" w:hAnsi="Times New Roman" w:cs="Times New Roman"/>
          <w:sz w:val="28"/>
          <w:szCs w:val="28"/>
          <w:lang w:val="nl-NL"/>
        </w:rPr>
        <w:t xml:space="preserve">Sở Lao động – </w:t>
      </w:r>
      <w:r w:rsidR="00603070">
        <w:rPr>
          <w:rFonts w:ascii="Times New Roman" w:hAnsi="Times New Roman" w:cs="Times New Roman"/>
          <w:sz w:val="28"/>
          <w:szCs w:val="28"/>
          <w:lang w:val="nl-NL"/>
        </w:rPr>
        <w:t xml:space="preserve">TB&amp;XH </w:t>
      </w:r>
      <w:r w:rsidR="00CB0056">
        <w:rPr>
          <w:rFonts w:ascii="Times New Roman" w:hAnsi="Times New Roman" w:cs="Times New Roman"/>
          <w:sz w:val="28"/>
          <w:szCs w:val="28"/>
          <w:lang w:val="nl-NL"/>
        </w:rPr>
        <w:t xml:space="preserve">đã </w:t>
      </w:r>
      <w:r w:rsidR="008D2B41">
        <w:rPr>
          <w:rFonts w:ascii="Times New Roman" w:hAnsi="Times New Roman" w:cs="Times New Roman"/>
          <w:sz w:val="28"/>
          <w:szCs w:val="28"/>
          <w:lang w:val="nl-NL"/>
        </w:rPr>
        <w:t>x</w:t>
      </w:r>
      <w:r w:rsidR="004E488C">
        <w:rPr>
          <w:rFonts w:ascii="Times New Roman" w:hAnsi="Times New Roman" w:cs="Times New Roman"/>
          <w:sz w:val="28"/>
          <w:szCs w:val="28"/>
          <w:lang w:val="nl-NL"/>
        </w:rPr>
        <w:t xml:space="preserve">ây </w:t>
      </w:r>
      <w:r w:rsidR="00FD4C25">
        <w:rPr>
          <w:rFonts w:ascii="Times New Roman" w:hAnsi="Times New Roman" w:cs="Times New Roman"/>
          <w:sz w:val="28"/>
          <w:szCs w:val="28"/>
          <w:lang w:val="nl-NL"/>
        </w:rPr>
        <w:t xml:space="preserve">dựng </w:t>
      </w:r>
      <w:r w:rsidR="00CB0056">
        <w:rPr>
          <w:rFonts w:ascii="Times New Roman" w:hAnsi="Times New Roman" w:cs="Times New Roman"/>
          <w:sz w:val="28"/>
          <w:szCs w:val="28"/>
          <w:lang w:val="nl-NL"/>
        </w:rPr>
        <w:t xml:space="preserve">và ban hành </w:t>
      </w:r>
      <w:r w:rsidR="00FD4C25">
        <w:rPr>
          <w:rFonts w:ascii="Times New Roman" w:hAnsi="Times New Roman" w:cs="Times New Roman"/>
          <w:sz w:val="28"/>
          <w:szCs w:val="28"/>
          <w:lang w:val="nl-NL"/>
        </w:rPr>
        <w:t>Kế hoạch số 26/KH-SLĐTBXH về việc thực hiện chính sách sau dịch Covid- 19</w:t>
      </w:r>
      <w:r w:rsidR="00BD6126">
        <w:rPr>
          <w:rFonts w:ascii="Times New Roman" w:hAnsi="Times New Roman" w:cs="Times New Roman"/>
          <w:sz w:val="28"/>
          <w:szCs w:val="28"/>
          <w:lang w:val="nl-NL"/>
        </w:rPr>
        <w:t xml:space="preserve"> nhằm </w:t>
      </w:r>
      <w:r w:rsidR="00CE3196">
        <w:rPr>
          <w:rStyle w:val="fontstyle01"/>
        </w:rPr>
        <w:t>thực hiện bảo đảm các chính sách an sinh xã hội trên</w:t>
      </w:r>
      <w:r w:rsidR="00CE3196">
        <w:rPr>
          <w:rStyle w:val="fontstyle01"/>
          <w:lang w:val="en-US"/>
        </w:rPr>
        <w:t xml:space="preserve"> </w:t>
      </w:r>
      <w:r w:rsidR="00CE3196">
        <w:rPr>
          <w:rStyle w:val="fontstyle01"/>
        </w:rPr>
        <w:t>địa bàn Tỉnh</w:t>
      </w:r>
      <w:r w:rsidR="00CE3196">
        <w:rPr>
          <w:rStyle w:val="fontstyle01"/>
          <w:lang w:val="en-US"/>
        </w:rPr>
        <w:t>.</w:t>
      </w:r>
    </w:p>
    <w:p w14:paraId="74B701B4" w14:textId="32B5E1DE" w:rsidR="00974529" w:rsidRPr="00CE3196" w:rsidRDefault="00974529" w:rsidP="00CE3196">
      <w:pPr>
        <w:tabs>
          <w:tab w:val="center" w:pos="-3240"/>
          <w:tab w:val="left" w:pos="-3060"/>
          <w:tab w:val="left" w:pos="0"/>
        </w:tabs>
        <w:adjustRightInd w:val="0"/>
        <w:snapToGri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4529">
        <w:rPr>
          <w:rFonts w:ascii="Times New Roman" w:hAnsi="Times New Roman" w:cs="Times New Roman"/>
          <w:sz w:val="28"/>
          <w:szCs w:val="28"/>
        </w:rPr>
        <w:t xml:space="preserve">Thực hiện chỉ đạo của UBND Tỉnh </w:t>
      </w:r>
      <w:r w:rsidR="004E488C">
        <w:rPr>
          <w:rFonts w:ascii="Times New Roman" w:hAnsi="Times New Roman" w:cs="Times New Roman"/>
          <w:sz w:val="28"/>
          <w:szCs w:val="28"/>
          <w:lang w:val="en-US"/>
        </w:rPr>
        <w:t>tại</w:t>
      </w:r>
      <w:r w:rsidR="00AB59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4529">
        <w:rPr>
          <w:rFonts w:ascii="Times New Roman" w:hAnsi="Times New Roman" w:cs="Times New Roman"/>
          <w:sz w:val="28"/>
          <w:szCs w:val="28"/>
        </w:rPr>
        <w:t>Công văn số 546/VPUBND-THVX 05/4/2022 của Văn phòng UBND Tỉnh về việc thực hiện chính sách hỗ trợ tiền thuê nhà cho người lao động theo Quyết định số 08/2022/QĐ-TTg ngày 28/3/2022 của Thủ tướng Chính phủ</w:t>
      </w:r>
      <w:r w:rsidR="00207D1A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; </w:t>
      </w:r>
      <w:r w:rsidRPr="00974529">
        <w:rPr>
          <w:rFonts w:ascii="Times New Roman" w:hAnsi="Times New Roman" w:cs="Times New Roman"/>
          <w:sz w:val="28"/>
          <w:szCs w:val="28"/>
        </w:rPr>
        <w:t xml:space="preserve">Sở Lao động – </w:t>
      </w:r>
      <w:r w:rsidR="00603070">
        <w:rPr>
          <w:rFonts w:ascii="Times New Roman" w:hAnsi="Times New Roman" w:cs="Times New Roman"/>
          <w:sz w:val="28"/>
          <w:szCs w:val="28"/>
          <w:lang w:val="nl-NL"/>
        </w:rPr>
        <w:t xml:space="preserve">TB&amp;XH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đã phối hợp </w:t>
      </w:r>
      <w:r w:rsidR="00476F51">
        <w:rPr>
          <w:rFonts w:ascii="Times New Roman" w:hAnsi="Times New Roman" w:cs="Times New Roman"/>
          <w:sz w:val="28"/>
          <w:szCs w:val="28"/>
          <w:lang w:val="en-US"/>
        </w:rPr>
        <w:t xml:space="preserve">ngay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với các Sở, ngành liên quan </w:t>
      </w:r>
      <w:r w:rsidR="004E488C">
        <w:rPr>
          <w:rFonts w:ascii="Times New Roman" w:hAnsi="Times New Roman" w:cs="Times New Roman"/>
          <w:sz w:val="28"/>
          <w:szCs w:val="28"/>
          <w:lang w:val="en-US"/>
        </w:rPr>
        <w:t>tham mưu UBND Tỉnh</w:t>
      </w:r>
      <w:r w:rsidR="00D143B8">
        <w:rPr>
          <w:rFonts w:ascii="Times New Roman" w:hAnsi="Times New Roman" w:cs="Times New Roman"/>
          <w:sz w:val="28"/>
          <w:szCs w:val="28"/>
          <w:lang w:val="en-US"/>
        </w:rPr>
        <w:t xml:space="preserve"> văn bản triển khai, hướng dẫn chính sách hỗ trợ </w:t>
      </w:r>
      <w:r w:rsidR="00D143B8" w:rsidRPr="00974529">
        <w:rPr>
          <w:rFonts w:ascii="Times New Roman" w:hAnsi="Times New Roman" w:cs="Times New Roman"/>
          <w:sz w:val="28"/>
          <w:szCs w:val="28"/>
        </w:rPr>
        <w:t>tiền thuê nhà cho người lao động</w:t>
      </w:r>
      <w:r w:rsidR="00D143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C4897">
        <w:rPr>
          <w:rFonts w:ascii="Times New Roman" w:hAnsi="Times New Roman" w:cs="Times New Roman"/>
          <w:sz w:val="28"/>
          <w:szCs w:val="28"/>
          <w:lang w:val="en-US"/>
        </w:rPr>
        <w:t xml:space="preserve">theo </w:t>
      </w:r>
      <w:r w:rsidR="001C4897" w:rsidRPr="00974529">
        <w:rPr>
          <w:rFonts w:ascii="Times New Roman" w:hAnsi="Times New Roman" w:cs="Times New Roman"/>
          <w:sz w:val="28"/>
          <w:szCs w:val="28"/>
        </w:rPr>
        <w:t xml:space="preserve">Quyết định số 08/2022/QĐ-TTg </w:t>
      </w:r>
      <w:r w:rsidR="00EE6692">
        <w:rPr>
          <w:rFonts w:ascii="Times New Roman" w:hAnsi="Times New Roman" w:cs="Times New Roman"/>
          <w:sz w:val="28"/>
          <w:szCs w:val="28"/>
          <w:lang w:val="en-US"/>
        </w:rPr>
        <w:t xml:space="preserve">của Thủ tướng Chính phủ </w:t>
      </w:r>
      <w:r w:rsidR="00D143B8">
        <w:rPr>
          <w:rFonts w:ascii="Times New Roman" w:hAnsi="Times New Roman" w:cs="Times New Roman"/>
          <w:sz w:val="28"/>
          <w:szCs w:val="28"/>
          <w:lang w:val="en-US"/>
        </w:rPr>
        <w:t xml:space="preserve">trên địa bàn Tỉnh </w:t>
      </w:r>
      <w:r w:rsidR="004E488C">
        <w:rPr>
          <w:rFonts w:ascii="Times New Roman" w:hAnsi="Times New Roman" w:cs="Times New Roman"/>
          <w:sz w:val="28"/>
          <w:szCs w:val="28"/>
          <w:lang w:val="en-US"/>
        </w:rPr>
        <w:t xml:space="preserve">và được </w:t>
      </w:r>
      <w:r w:rsidR="00D143B8">
        <w:rPr>
          <w:rFonts w:ascii="Times New Roman" w:hAnsi="Times New Roman" w:cs="Times New Roman"/>
          <w:sz w:val="28"/>
          <w:szCs w:val="28"/>
          <w:lang w:val="en-US"/>
        </w:rPr>
        <w:t xml:space="preserve">UBND Tỉnh </w:t>
      </w:r>
      <w:r w:rsidR="004E488C">
        <w:rPr>
          <w:rFonts w:ascii="Times New Roman" w:hAnsi="Times New Roman" w:cs="Times New Roman"/>
          <w:sz w:val="28"/>
          <w:szCs w:val="28"/>
          <w:lang w:val="en-US"/>
        </w:rPr>
        <w:t xml:space="preserve">ban hành tại Kế hoạch </w:t>
      </w:r>
      <w:r w:rsidR="00D143B8">
        <w:rPr>
          <w:rFonts w:ascii="Times New Roman" w:hAnsi="Times New Roman" w:cs="Times New Roman"/>
          <w:sz w:val="28"/>
          <w:szCs w:val="28"/>
          <w:lang w:val="en-US"/>
        </w:rPr>
        <w:t xml:space="preserve"> số </w:t>
      </w:r>
      <w:r w:rsidR="00AB594C">
        <w:rPr>
          <w:rFonts w:ascii="Times New Roman" w:hAnsi="Times New Roman" w:cs="Times New Roman"/>
          <w:sz w:val="28"/>
          <w:szCs w:val="28"/>
          <w:lang w:val="en-US"/>
        </w:rPr>
        <w:t>170/KH-UBND ngày 11/5/2022</w:t>
      </w:r>
      <w:r w:rsidR="00207D1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7FCFB20" w14:textId="69066636" w:rsidR="00EE6692" w:rsidRPr="00EE6692" w:rsidRDefault="00EE6692" w:rsidP="001337F2">
      <w:pPr>
        <w:tabs>
          <w:tab w:val="center" w:pos="-3240"/>
          <w:tab w:val="left" w:pos="-3060"/>
          <w:tab w:val="left" w:pos="0"/>
        </w:tabs>
        <w:adjustRightInd w:val="0"/>
        <w:snapToGrid w:val="0"/>
        <w:spacing w:before="6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nl-NL"/>
        </w:rPr>
      </w:pPr>
      <w:r w:rsidRPr="00EE6692">
        <w:rPr>
          <w:rFonts w:ascii="Times New Roman" w:hAnsi="Times New Roman" w:cs="Times New Roman"/>
          <w:b/>
          <w:bCs/>
          <w:sz w:val="28"/>
          <w:szCs w:val="28"/>
          <w:lang w:val="nl-NL"/>
        </w:rPr>
        <w:t>2. Tiến độ thực hiện</w:t>
      </w:r>
    </w:p>
    <w:p w14:paraId="38129E6E" w14:textId="07EF6D84" w:rsidR="00AB594C" w:rsidRPr="008922EA" w:rsidRDefault="00AB594C" w:rsidP="00CE3196">
      <w:pPr>
        <w:tabs>
          <w:tab w:val="center" w:pos="-3240"/>
          <w:tab w:val="left" w:pos="-3060"/>
          <w:tab w:val="left" w:pos="0"/>
        </w:tabs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Sở Lao động – </w:t>
      </w:r>
      <w:r w:rsidR="00603070">
        <w:rPr>
          <w:rFonts w:ascii="Times New Roman" w:hAnsi="Times New Roman" w:cs="Times New Roman"/>
          <w:sz w:val="28"/>
          <w:szCs w:val="28"/>
          <w:lang w:val="nl-NL"/>
        </w:rPr>
        <w:t xml:space="preserve">TB&amp;XH </w:t>
      </w:r>
      <w:r w:rsidR="00476F51">
        <w:rPr>
          <w:rFonts w:ascii="Times New Roman" w:hAnsi="Times New Roman" w:cs="Times New Roman"/>
          <w:sz w:val="28"/>
          <w:szCs w:val="28"/>
          <w:lang w:val="nl-NL"/>
        </w:rPr>
        <w:t>đã có văn bản gửi Sở, ngành liên quan</w:t>
      </w:r>
      <w:r w:rsidR="0081707C">
        <w:rPr>
          <w:rFonts w:ascii="Times New Roman" w:hAnsi="Times New Roman" w:cs="Times New Roman"/>
          <w:sz w:val="28"/>
          <w:szCs w:val="28"/>
          <w:lang w:val="nl-NL"/>
        </w:rPr>
        <w:t xml:space="preserve"> và 12 Phòng Lao động – </w:t>
      </w:r>
      <w:r w:rsidR="009E563C">
        <w:rPr>
          <w:rFonts w:ascii="Times New Roman" w:hAnsi="Times New Roman" w:cs="Times New Roman"/>
          <w:sz w:val="28"/>
          <w:szCs w:val="28"/>
          <w:lang w:val="nl-NL"/>
        </w:rPr>
        <w:t xml:space="preserve">TB&amp;XH </w:t>
      </w:r>
      <w:r w:rsidR="0081707C">
        <w:rPr>
          <w:rFonts w:ascii="Times New Roman" w:hAnsi="Times New Roman" w:cs="Times New Roman"/>
          <w:sz w:val="28"/>
          <w:szCs w:val="28"/>
          <w:lang w:val="nl-NL"/>
        </w:rPr>
        <w:t>rà soát</w:t>
      </w:r>
      <w:r w:rsidR="00476F51">
        <w:rPr>
          <w:rFonts w:ascii="Times New Roman" w:hAnsi="Times New Roman" w:cs="Times New Roman"/>
          <w:sz w:val="28"/>
          <w:szCs w:val="28"/>
          <w:lang w:val="nl-NL"/>
        </w:rPr>
        <w:t xml:space="preserve"> và dự báo số lượng và nhu cầu kinh phí thực hiện</w:t>
      </w:r>
      <w:r w:rsidR="0081707C">
        <w:rPr>
          <w:rFonts w:ascii="Times New Roman" w:hAnsi="Times New Roman" w:cs="Times New Roman"/>
          <w:sz w:val="28"/>
          <w:szCs w:val="28"/>
          <w:lang w:val="nl-NL"/>
        </w:rPr>
        <w:t xml:space="preserve"> chính sách hỗ trợ tiền thuê nhà cho người lao động </w:t>
      </w:r>
      <w:r w:rsidR="002D5F97">
        <w:rPr>
          <w:rFonts w:ascii="Times New Roman" w:hAnsi="Times New Roman" w:cs="Times New Roman"/>
          <w:sz w:val="28"/>
          <w:szCs w:val="28"/>
          <w:lang w:val="nl-NL"/>
        </w:rPr>
        <w:t xml:space="preserve">gửi </w:t>
      </w:r>
      <w:r w:rsidR="0081707C">
        <w:rPr>
          <w:rFonts w:ascii="Times New Roman" w:hAnsi="Times New Roman" w:cs="Times New Roman"/>
          <w:sz w:val="28"/>
          <w:szCs w:val="28"/>
          <w:lang w:val="nl-NL"/>
        </w:rPr>
        <w:t xml:space="preserve">Bộ Lao động – </w:t>
      </w:r>
      <w:r w:rsidR="009E563C">
        <w:rPr>
          <w:rFonts w:ascii="Times New Roman" w:hAnsi="Times New Roman" w:cs="Times New Roman"/>
          <w:sz w:val="28"/>
          <w:szCs w:val="28"/>
          <w:lang w:val="nl-NL"/>
        </w:rPr>
        <w:t xml:space="preserve">TB&amp;XH </w:t>
      </w:r>
      <w:r w:rsidR="0081707C">
        <w:rPr>
          <w:rFonts w:ascii="Times New Roman" w:hAnsi="Times New Roman" w:cs="Times New Roman"/>
          <w:sz w:val="28"/>
          <w:szCs w:val="28"/>
          <w:lang w:val="nl-NL"/>
        </w:rPr>
        <w:t>tổng hợp.</w:t>
      </w:r>
      <w:r w:rsidR="0081707C" w:rsidRPr="008170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707C">
        <w:rPr>
          <w:rFonts w:ascii="Times New Roman" w:hAnsi="Times New Roman" w:cs="Times New Roman"/>
          <w:sz w:val="28"/>
          <w:szCs w:val="28"/>
          <w:lang w:val="en-US"/>
        </w:rPr>
        <w:t xml:space="preserve">Trên cơ sở Kế hoạch số 170/KH-UBND ngày 11/5/2022 của UBND Tỉnh, Sở Lao động </w:t>
      </w:r>
      <w:r w:rsidR="008922E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E563C">
        <w:rPr>
          <w:rFonts w:ascii="Times New Roman" w:hAnsi="Times New Roman" w:cs="Times New Roman"/>
          <w:sz w:val="28"/>
          <w:szCs w:val="28"/>
          <w:lang w:val="nl-NL"/>
        </w:rPr>
        <w:t xml:space="preserve">TB&amp;XH </w:t>
      </w:r>
      <w:r w:rsidR="0081707C">
        <w:rPr>
          <w:rFonts w:ascii="Times New Roman" w:hAnsi="Times New Roman" w:cs="Times New Roman"/>
          <w:sz w:val="28"/>
          <w:szCs w:val="28"/>
          <w:lang w:val="en-US"/>
        </w:rPr>
        <w:t xml:space="preserve">đã </w:t>
      </w:r>
      <w:r w:rsidR="00603070">
        <w:rPr>
          <w:rFonts w:ascii="Times New Roman" w:hAnsi="Times New Roman" w:cs="Times New Roman"/>
          <w:sz w:val="28"/>
          <w:szCs w:val="28"/>
          <w:lang w:val="en-US"/>
        </w:rPr>
        <w:t xml:space="preserve">khẩn trương </w:t>
      </w:r>
      <w:r w:rsidR="0081707C">
        <w:rPr>
          <w:rFonts w:ascii="Times New Roman" w:hAnsi="Times New Roman" w:cs="Times New Roman"/>
          <w:sz w:val="28"/>
          <w:szCs w:val="28"/>
          <w:lang w:val="en-US"/>
        </w:rPr>
        <w:t>tổ chức hướng dẫn, tri</w:t>
      </w:r>
      <w:r w:rsidR="008922EA">
        <w:rPr>
          <w:rFonts w:ascii="Times New Roman" w:hAnsi="Times New Roman" w:cs="Times New Roman"/>
          <w:sz w:val="28"/>
          <w:szCs w:val="28"/>
          <w:lang w:val="en-US"/>
        </w:rPr>
        <w:t>ể</w:t>
      </w:r>
      <w:r w:rsidR="0081707C">
        <w:rPr>
          <w:rFonts w:ascii="Times New Roman" w:hAnsi="Times New Roman" w:cs="Times New Roman"/>
          <w:sz w:val="28"/>
          <w:szCs w:val="28"/>
          <w:lang w:val="en-US"/>
        </w:rPr>
        <w:t>n khai đến</w:t>
      </w:r>
      <w:r w:rsidR="00CE3196">
        <w:rPr>
          <w:rFonts w:ascii="Times New Roman" w:hAnsi="Times New Roman" w:cs="Times New Roman"/>
          <w:sz w:val="28"/>
          <w:szCs w:val="28"/>
          <w:lang w:val="en-US"/>
        </w:rPr>
        <w:t xml:space="preserve"> Ban Quản lý khu kinh tế Tỉnh,</w:t>
      </w:r>
      <w:r w:rsidR="0081707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922EA">
        <w:rPr>
          <w:rFonts w:ascii="Times New Roman" w:hAnsi="Times New Roman" w:cs="Times New Roman"/>
          <w:sz w:val="28"/>
          <w:szCs w:val="28"/>
          <w:lang w:val="en-US"/>
        </w:rPr>
        <w:t xml:space="preserve">12 Phòng Lao động – </w:t>
      </w:r>
      <w:r w:rsidR="009E563C">
        <w:rPr>
          <w:rFonts w:ascii="Times New Roman" w:hAnsi="Times New Roman" w:cs="Times New Roman"/>
          <w:sz w:val="28"/>
          <w:szCs w:val="28"/>
          <w:lang w:val="nl-NL"/>
        </w:rPr>
        <w:t xml:space="preserve">TB&amp;XH </w:t>
      </w:r>
      <w:r w:rsidR="008922EA">
        <w:rPr>
          <w:rFonts w:ascii="Times New Roman" w:hAnsi="Times New Roman" w:cs="Times New Roman"/>
          <w:sz w:val="28"/>
          <w:szCs w:val="28"/>
          <w:lang w:val="en-US"/>
        </w:rPr>
        <w:t>về quy trình thực hiện hỗ trợ người lao động nhằm đảo bảo kịp thời, đúng đối tượng, công khai, minh bạch, không để lợi dụng, trục lợi chính sách</w:t>
      </w:r>
      <w:r w:rsidR="00B5448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7BDED3E" w14:textId="2B4DA45D" w:rsidR="00AB594C" w:rsidRDefault="00EE6692" w:rsidP="002D5F97">
      <w:pPr>
        <w:tabs>
          <w:tab w:val="center" w:pos="-3240"/>
          <w:tab w:val="left" w:pos="-3060"/>
          <w:tab w:val="left" w:pos="0"/>
        </w:tabs>
        <w:adjustRightInd w:val="0"/>
        <w:snapToGri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Trên đây là nội dung </w:t>
      </w:r>
      <w:r w:rsidR="00CE3196">
        <w:rPr>
          <w:rFonts w:ascii="Times New Roman" w:hAnsi="Times New Roman" w:cs="Times New Roman"/>
          <w:sz w:val="28"/>
          <w:szCs w:val="28"/>
          <w:lang w:val="nl-NL"/>
        </w:rPr>
        <w:t>báo cáo tình hình thực hiện Nghị quyết số 11/NQ-CP ngày 30/01/2022 của Chính phủ</w:t>
      </w:r>
      <w:r w:rsidR="00603070">
        <w:rPr>
          <w:rFonts w:ascii="Times New Roman" w:hAnsi="Times New Roman" w:cs="Times New Roman"/>
          <w:sz w:val="28"/>
          <w:szCs w:val="28"/>
          <w:lang w:val="en-US"/>
        </w:rPr>
        <w:t xml:space="preserve">. Sở Lao động – </w:t>
      </w:r>
      <w:r w:rsidR="009E563C">
        <w:rPr>
          <w:rFonts w:ascii="Times New Roman" w:hAnsi="Times New Roman" w:cs="Times New Roman"/>
          <w:sz w:val="28"/>
          <w:szCs w:val="28"/>
          <w:lang w:val="nl-NL"/>
        </w:rPr>
        <w:t xml:space="preserve">TB&amp;XH </w:t>
      </w:r>
      <w:r w:rsidR="00603070">
        <w:rPr>
          <w:rFonts w:ascii="Times New Roman" w:hAnsi="Times New Roman" w:cs="Times New Roman"/>
          <w:sz w:val="28"/>
          <w:szCs w:val="28"/>
          <w:lang w:val="en-US"/>
        </w:rPr>
        <w:t>báo đến Sở Kế hoạch và Đầu tư tổng hợp./.</w:t>
      </w:r>
    </w:p>
    <w:tbl>
      <w:tblPr>
        <w:tblW w:w="9636" w:type="dxa"/>
        <w:tblLook w:val="04A0" w:firstRow="1" w:lastRow="0" w:firstColumn="1" w:lastColumn="0" w:noHBand="0" w:noVBand="1"/>
      </w:tblPr>
      <w:tblGrid>
        <w:gridCol w:w="4928"/>
        <w:gridCol w:w="4708"/>
      </w:tblGrid>
      <w:tr w:rsidR="00603070" w:rsidRPr="00D52AD8" w14:paraId="723437BF" w14:textId="77777777" w:rsidTr="00603070">
        <w:tc>
          <w:tcPr>
            <w:tcW w:w="4928" w:type="dxa"/>
            <w:shd w:val="clear" w:color="auto" w:fill="auto"/>
          </w:tcPr>
          <w:p w14:paraId="6570FE67" w14:textId="77777777" w:rsidR="00603070" w:rsidRPr="00603070" w:rsidRDefault="00603070" w:rsidP="0060307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0307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Nơi nhận:</w:t>
            </w:r>
          </w:p>
          <w:p w14:paraId="75B480CF" w14:textId="72F68E2A" w:rsidR="00603070" w:rsidRPr="00603070" w:rsidRDefault="002D5F97" w:rsidP="002D5F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fontstyle01"/>
                <w:sz w:val="22"/>
                <w:szCs w:val="22"/>
                <w:lang w:val="en-US"/>
              </w:rPr>
              <w:t>-</w:t>
            </w:r>
            <w:r>
              <w:rPr>
                <w:rStyle w:val="fontstyle01"/>
              </w:rPr>
              <w:t xml:space="preserve"> </w:t>
            </w:r>
            <w:r w:rsidRPr="002D5F97">
              <w:rPr>
                <w:rStyle w:val="fontstyle01"/>
                <w:sz w:val="22"/>
                <w:szCs w:val="22"/>
              </w:rPr>
              <w:t>UBND Tỉnh (b/c);</w:t>
            </w:r>
            <w:r w:rsidRPr="002D5F97">
              <w:rPr>
                <w:color w:val="000000"/>
              </w:rPr>
              <w:br/>
            </w:r>
            <w:r w:rsidRPr="002D5F97">
              <w:rPr>
                <w:rStyle w:val="fontstyle01"/>
                <w:sz w:val="22"/>
                <w:szCs w:val="22"/>
              </w:rPr>
              <w:t xml:space="preserve">- Sở </w:t>
            </w:r>
            <w:r>
              <w:rPr>
                <w:rStyle w:val="fontstyle01"/>
                <w:sz w:val="22"/>
                <w:szCs w:val="22"/>
                <w:lang w:val="en-US"/>
              </w:rPr>
              <w:t>Tài chính</w:t>
            </w:r>
            <w:r w:rsidRPr="002D5F97">
              <w:rPr>
                <w:rStyle w:val="fontstyle01"/>
                <w:sz w:val="22"/>
                <w:szCs w:val="22"/>
              </w:rPr>
              <w:t>;</w:t>
            </w:r>
            <w:r w:rsidRPr="002D5F97">
              <w:rPr>
                <w:color w:val="000000"/>
              </w:rPr>
              <w:br/>
            </w:r>
            <w:r w:rsidRPr="002D5F97">
              <w:rPr>
                <w:rStyle w:val="fontstyle01"/>
                <w:sz w:val="22"/>
                <w:szCs w:val="22"/>
              </w:rPr>
              <w:t xml:space="preserve">- </w:t>
            </w:r>
            <w:r>
              <w:rPr>
                <w:rStyle w:val="fontstyle01"/>
                <w:sz w:val="22"/>
                <w:szCs w:val="22"/>
                <w:lang w:val="en-US"/>
              </w:rPr>
              <w:t xml:space="preserve">Giám đốc, các Phó </w:t>
            </w:r>
            <w:r w:rsidRPr="002D5F97">
              <w:rPr>
                <w:rStyle w:val="fontstyle01"/>
                <w:sz w:val="22"/>
                <w:szCs w:val="22"/>
              </w:rPr>
              <w:t xml:space="preserve"> </w:t>
            </w:r>
            <w:r>
              <w:rPr>
                <w:rStyle w:val="fontstyle01"/>
                <w:sz w:val="22"/>
                <w:szCs w:val="22"/>
                <w:lang w:val="en-US"/>
              </w:rPr>
              <w:t xml:space="preserve">GĐ </w:t>
            </w:r>
            <w:r w:rsidRPr="002D5F97">
              <w:rPr>
                <w:rStyle w:val="fontstyle01"/>
                <w:sz w:val="22"/>
                <w:szCs w:val="22"/>
              </w:rPr>
              <w:t>Sở;</w:t>
            </w:r>
            <w:r w:rsidRPr="002D5F97">
              <w:rPr>
                <w:color w:val="000000"/>
              </w:rPr>
              <w:br/>
            </w:r>
            <w:r w:rsidRPr="002D5F97">
              <w:rPr>
                <w:rStyle w:val="fontstyle01"/>
                <w:sz w:val="22"/>
                <w:szCs w:val="22"/>
              </w:rPr>
              <w:t>- Lưu: VT,</w:t>
            </w:r>
            <w:r w:rsidRPr="00603070">
              <w:rPr>
                <w:rFonts w:ascii="Times New Roman" w:hAnsi="Times New Roman" w:cs="Times New Roman"/>
              </w:rPr>
              <w:t xml:space="preserve"> PLĐVLBH (pvn).</w:t>
            </w:r>
          </w:p>
        </w:tc>
        <w:tc>
          <w:tcPr>
            <w:tcW w:w="4708" w:type="dxa"/>
            <w:shd w:val="clear" w:color="auto" w:fill="auto"/>
          </w:tcPr>
          <w:p w14:paraId="28BE8122" w14:textId="77777777" w:rsidR="00603070" w:rsidRPr="00603070" w:rsidRDefault="00603070" w:rsidP="00603070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30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GIÁM ĐỐC</w:t>
            </w:r>
          </w:p>
          <w:p w14:paraId="2F6CB99D" w14:textId="77777777" w:rsidR="00603070" w:rsidRPr="00603070" w:rsidRDefault="00603070" w:rsidP="00603070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91981B7" w14:textId="77777777" w:rsidR="00603070" w:rsidRPr="00603070" w:rsidRDefault="00603070" w:rsidP="00603070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0B4553D" w14:textId="5D7C3159" w:rsidR="00603070" w:rsidRDefault="00603070" w:rsidP="00603070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136C24D" w14:textId="77777777" w:rsidR="00603070" w:rsidRPr="00603070" w:rsidRDefault="00603070" w:rsidP="00603070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CC8E634" w14:textId="77777777" w:rsidR="00603070" w:rsidRPr="002D5F97" w:rsidRDefault="00603070" w:rsidP="00603070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03070">
              <w:rPr>
                <w:rFonts w:ascii="Times New Roman" w:hAnsi="Times New Roman" w:cs="Times New Roman"/>
                <w:b/>
                <w:sz w:val="28"/>
                <w:szCs w:val="28"/>
              </w:rPr>
              <w:t>Phạm Việt Công</w:t>
            </w:r>
          </w:p>
        </w:tc>
      </w:tr>
    </w:tbl>
    <w:p w14:paraId="69435CE1" w14:textId="77777777" w:rsidR="00D364EC" w:rsidRPr="00E55CD5" w:rsidRDefault="00D364EC" w:rsidP="008D2B41">
      <w:pPr>
        <w:shd w:val="clear" w:color="auto" w:fill="FFFFFF"/>
        <w:spacing w:before="120" w:after="120" w:line="312" w:lineRule="auto"/>
        <w:jc w:val="both"/>
        <w:rPr>
          <w:rFonts w:ascii="Times New Roman" w:hAnsi="Times New Roman" w:cs="Times New Roman"/>
          <w:lang w:val="nl-NL"/>
        </w:rPr>
      </w:pPr>
    </w:p>
    <w:sectPr w:rsidR="00D364EC" w:rsidRPr="00E55CD5" w:rsidSect="00CE3196">
      <w:headerReference w:type="default" r:id="rId8"/>
      <w:pgSz w:w="11906" w:h="16838" w:code="9"/>
      <w:pgMar w:top="1135" w:right="851" w:bottom="0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7BC2" w14:textId="77777777" w:rsidR="0069622C" w:rsidRDefault="0069622C" w:rsidP="00A17155">
      <w:pPr>
        <w:spacing w:after="0" w:line="240" w:lineRule="auto"/>
      </w:pPr>
      <w:r>
        <w:separator/>
      </w:r>
    </w:p>
  </w:endnote>
  <w:endnote w:type="continuationSeparator" w:id="0">
    <w:p w14:paraId="4A6B96FB" w14:textId="77777777" w:rsidR="0069622C" w:rsidRDefault="0069622C" w:rsidP="00A17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B1F8F" w14:textId="77777777" w:rsidR="0069622C" w:rsidRDefault="0069622C" w:rsidP="00A17155">
      <w:pPr>
        <w:spacing w:after="0" w:line="240" w:lineRule="auto"/>
      </w:pPr>
      <w:r>
        <w:separator/>
      </w:r>
    </w:p>
  </w:footnote>
  <w:footnote w:type="continuationSeparator" w:id="0">
    <w:p w14:paraId="41B439FA" w14:textId="77777777" w:rsidR="0069622C" w:rsidRDefault="0069622C" w:rsidP="00A17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9BD5" w14:textId="425E723B" w:rsidR="00A17155" w:rsidRPr="00A17155" w:rsidRDefault="00A17155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14:paraId="4AFA4563" w14:textId="77777777" w:rsidR="00A17155" w:rsidRDefault="00A171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70E71"/>
    <w:multiLevelType w:val="hybridMultilevel"/>
    <w:tmpl w:val="BDF02896"/>
    <w:lvl w:ilvl="0" w:tplc="4CD02A36">
      <w:start w:val="5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2A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2A0005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2A000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2A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A000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2A000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2A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A0005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0804741"/>
    <w:multiLevelType w:val="hybridMultilevel"/>
    <w:tmpl w:val="6742B430"/>
    <w:lvl w:ilvl="0" w:tplc="612AEB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8"/>
        <w:szCs w:val="28"/>
      </w:rPr>
    </w:lvl>
    <w:lvl w:ilvl="1" w:tplc="042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15A69B9"/>
    <w:multiLevelType w:val="hybridMultilevel"/>
    <w:tmpl w:val="DA487EDC"/>
    <w:lvl w:ilvl="0" w:tplc="8E80433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9295982"/>
    <w:multiLevelType w:val="hybridMultilevel"/>
    <w:tmpl w:val="E6829FE4"/>
    <w:lvl w:ilvl="0" w:tplc="730289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701310">
    <w:abstractNumId w:val="0"/>
  </w:num>
  <w:num w:numId="2" w16cid:durableId="946424654">
    <w:abstractNumId w:val="1"/>
  </w:num>
  <w:num w:numId="3" w16cid:durableId="6310123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6443888">
    <w:abstractNumId w:val="3"/>
  </w:num>
  <w:num w:numId="5" w16cid:durableId="1135488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630C"/>
    <w:rsid w:val="00001B88"/>
    <w:rsid w:val="00003E56"/>
    <w:rsid w:val="00004330"/>
    <w:rsid w:val="00041E3F"/>
    <w:rsid w:val="00042053"/>
    <w:rsid w:val="00044AF0"/>
    <w:rsid w:val="0005253E"/>
    <w:rsid w:val="000667BC"/>
    <w:rsid w:val="00081BFA"/>
    <w:rsid w:val="0008479A"/>
    <w:rsid w:val="00084CD0"/>
    <w:rsid w:val="00085E8B"/>
    <w:rsid w:val="00086F7E"/>
    <w:rsid w:val="00086FB4"/>
    <w:rsid w:val="0008736B"/>
    <w:rsid w:val="00093103"/>
    <w:rsid w:val="000935A7"/>
    <w:rsid w:val="000C54DD"/>
    <w:rsid w:val="000D3464"/>
    <w:rsid w:val="000D4D6D"/>
    <w:rsid w:val="000D5945"/>
    <w:rsid w:val="000E4060"/>
    <w:rsid w:val="000E4B9F"/>
    <w:rsid w:val="0010038A"/>
    <w:rsid w:val="00101BFF"/>
    <w:rsid w:val="00104365"/>
    <w:rsid w:val="001066D7"/>
    <w:rsid w:val="001074C4"/>
    <w:rsid w:val="001337F2"/>
    <w:rsid w:val="00136BC0"/>
    <w:rsid w:val="00144EC0"/>
    <w:rsid w:val="001603BA"/>
    <w:rsid w:val="00162A5C"/>
    <w:rsid w:val="00164885"/>
    <w:rsid w:val="001753C2"/>
    <w:rsid w:val="00185199"/>
    <w:rsid w:val="0019083F"/>
    <w:rsid w:val="00193F62"/>
    <w:rsid w:val="00194205"/>
    <w:rsid w:val="001A59ED"/>
    <w:rsid w:val="001B77A1"/>
    <w:rsid w:val="001B7BB8"/>
    <w:rsid w:val="001C439E"/>
    <w:rsid w:val="001C4897"/>
    <w:rsid w:val="001C73CC"/>
    <w:rsid w:val="001E26ED"/>
    <w:rsid w:val="001E7844"/>
    <w:rsid w:val="00207D1A"/>
    <w:rsid w:val="00214249"/>
    <w:rsid w:val="002166A0"/>
    <w:rsid w:val="00225AC3"/>
    <w:rsid w:val="0024108E"/>
    <w:rsid w:val="00246F48"/>
    <w:rsid w:val="002643A2"/>
    <w:rsid w:val="002704A5"/>
    <w:rsid w:val="00271919"/>
    <w:rsid w:val="00277258"/>
    <w:rsid w:val="00281C7E"/>
    <w:rsid w:val="002924AC"/>
    <w:rsid w:val="0029519C"/>
    <w:rsid w:val="00297C55"/>
    <w:rsid w:val="002A28B0"/>
    <w:rsid w:val="002A4B86"/>
    <w:rsid w:val="002B1E66"/>
    <w:rsid w:val="002D5F97"/>
    <w:rsid w:val="002F5AAA"/>
    <w:rsid w:val="002F6A9F"/>
    <w:rsid w:val="00305038"/>
    <w:rsid w:val="00307B21"/>
    <w:rsid w:val="00310034"/>
    <w:rsid w:val="00320900"/>
    <w:rsid w:val="00327703"/>
    <w:rsid w:val="00333CA3"/>
    <w:rsid w:val="003343A3"/>
    <w:rsid w:val="00335993"/>
    <w:rsid w:val="0034347B"/>
    <w:rsid w:val="003467E9"/>
    <w:rsid w:val="00350E47"/>
    <w:rsid w:val="00355A21"/>
    <w:rsid w:val="003662C1"/>
    <w:rsid w:val="003844CF"/>
    <w:rsid w:val="003A1706"/>
    <w:rsid w:val="003A587D"/>
    <w:rsid w:val="003B42B0"/>
    <w:rsid w:val="003B5624"/>
    <w:rsid w:val="003C3D67"/>
    <w:rsid w:val="003C601A"/>
    <w:rsid w:val="003C6812"/>
    <w:rsid w:val="003D142C"/>
    <w:rsid w:val="003D6044"/>
    <w:rsid w:val="003E0BA6"/>
    <w:rsid w:val="003E28D9"/>
    <w:rsid w:val="003E731A"/>
    <w:rsid w:val="003F06AC"/>
    <w:rsid w:val="003F3A96"/>
    <w:rsid w:val="004107DA"/>
    <w:rsid w:val="0041434E"/>
    <w:rsid w:val="004171EE"/>
    <w:rsid w:val="00417A3C"/>
    <w:rsid w:val="00422ADC"/>
    <w:rsid w:val="004243C6"/>
    <w:rsid w:val="004309AF"/>
    <w:rsid w:val="004348FB"/>
    <w:rsid w:val="004477D1"/>
    <w:rsid w:val="00454256"/>
    <w:rsid w:val="00461735"/>
    <w:rsid w:val="004650FF"/>
    <w:rsid w:val="00465F2E"/>
    <w:rsid w:val="00467211"/>
    <w:rsid w:val="004674F6"/>
    <w:rsid w:val="00470DC7"/>
    <w:rsid w:val="00476F51"/>
    <w:rsid w:val="00477C3E"/>
    <w:rsid w:val="004826E6"/>
    <w:rsid w:val="00487BC4"/>
    <w:rsid w:val="0049026E"/>
    <w:rsid w:val="004938A2"/>
    <w:rsid w:val="00496745"/>
    <w:rsid w:val="004A59BF"/>
    <w:rsid w:val="004A70AB"/>
    <w:rsid w:val="004A7105"/>
    <w:rsid w:val="004B046A"/>
    <w:rsid w:val="004B4862"/>
    <w:rsid w:val="004B4E0C"/>
    <w:rsid w:val="004B7374"/>
    <w:rsid w:val="004E12A8"/>
    <w:rsid w:val="004E488C"/>
    <w:rsid w:val="004E6223"/>
    <w:rsid w:val="004F22D2"/>
    <w:rsid w:val="004F37DB"/>
    <w:rsid w:val="00502D98"/>
    <w:rsid w:val="0050457F"/>
    <w:rsid w:val="0050561B"/>
    <w:rsid w:val="00505D96"/>
    <w:rsid w:val="0050630C"/>
    <w:rsid w:val="00511D82"/>
    <w:rsid w:val="005139E1"/>
    <w:rsid w:val="00513CC0"/>
    <w:rsid w:val="00522CED"/>
    <w:rsid w:val="00533CCA"/>
    <w:rsid w:val="00542B01"/>
    <w:rsid w:val="00564E82"/>
    <w:rsid w:val="005650A3"/>
    <w:rsid w:val="00570C41"/>
    <w:rsid w:val="005878CE"/>
    <w:rsid w:val="005903EC"/>
    <w:rsid w:val="00592A14"/>
    <w:rsid w:val="00595540"/>
    <w:rsid w:val="00597ED9"/>
    <w:rsid w:val="005A3380"/>
    <w:rsid w:val="005A3CF0"/>
    <w:rsid w:val="005C23E5"/>
    <w:rsid w:val="005C3144"/>
    <w:rsid w:val="005C5B90"/>
    <w:rsid w:val="005C69ED"/>
    <w:rsid w:val="005D209C"/>
    <w:rsid w:val="005D3F8C"/>
    <w:rsid w:val="005D442A"/>
    <w:rsid w:val="005E4310"/>
    <w:rsid w:val="005F15A0"/>
    <w:rsid w:val="005F6172"/>
    <w:rsid w:val="005F70C4"/>
    <w:rsid w:val="0060084E"/>
    <w:rsid w:val="00603070"/>
    <w:rsid w:val="00605F72"/>
    <w:rsid w:val="006106A6"/>
    <w:rsid w:val="00614879"/>
    <w:rsid w:val="00615E79"/>
    <w:rsid w:val="0062428E"/>
    <w:rsid w:val="006258D9"/>
    <w:rsid w:val="00630C4C"/>
    <w:rsid w:val="00632AA9"/>
    <w:rsid w:val="006468E4"/>
    <w:rsid w:val="006508B8"/>
    <w:rsid w:val="006653FB"/>
    <w:rsid w:val="00666717"/>
    <w:rsid w:val="0067193E"/>
    <w:rsid w:val="00682F48"/>
    <w:rsid w:val="00683818"/>
    <w:rsid w:val="0069622C"/>
    <w:rsid w:val="006A2744"/>
    <w:rsid w:val="006B7E89"/>
    <w:rsid w:val="006D58F6"/>
    <w:rsid w:val="006D72AD"/>
    <w:rsid w:val="006E3FAC"/>
    <w:rsid w:val="006E68AB"/>
    <w:rsid w:val="006E6A04"/>
    <w:rsid w:val="006F30CA"/>
    <w:rsid w:val="006F4588"/>
    <w:rsid w:val="006F6918"/>
    <w:rsid w:val="00700396"/>
    <w:rsid w:val="007005D4"/>
    <w:rsid w:val="007011D7"/>
    <w:rsid w:val="00705D02"/>
    <w:rsid w:val="00715357"/>
    <w:rsid w:val="00720427"/>
    <w:rsid w:val="00724E2B"/>
    <w:rsid w:val="0073531F"/>
    <w:rsid w:val="00735420"/>
    <w:rsid w:val="00737FBB"/>
    <w:rsid w:val="00740F2B"/>
    <w:rsid w:val="007437E0"/>
    <w:rsid w:val="00750565"/>
    <w:rsid w:val="00750A39"/>
    <w:rsid w:val="0076032E"/>
    <w:rsid w:val="007714ED"/>
    <w:rsid w:val="00791EB2"/>
    <w:rsid w:val="007953F6"/>
    <w:rsid w:val="007962D3"/>
    <w:rsid w:val="007B17F0"/>
    <w:rsid w:val="007D2DF5"/>
    <w:rsid w:val="007D4101"/>
    <w:rsid w:val="007D53F9"/>
    <w:rsid w:val="007D7761"/>
    <w:rsid w:val="007F111D"/>
    <w:rsid w:val="007F17C2"/>
    <w:rsid w:val="0080374F"/>
    <w:rsid w:val="008100E0"/>
    <w:rsid w:val="008107ED"/>
    <w:rsid w:val="00815726"/>
    <w:rsid w:val="0081707C"/>
    <w:rsid w:val="008224B1"/>
    <w:rsid w:val="00827516"/>
    <w:rsid w:val="00832CAB"/>
    <w:rsid w:val="00837284"/>
    <w:rsid w:val="0084463A"/>
    <w:rsid w:val="00845D76"/>
    <w:rsid w:val="00860A88"/>
    <w:rsid w:val="00866FD6"/>
    <w:rsid w:val="00875294"/>
    <w:rsid w:val="0087668E"/>
    <w:rsid w:val="00882EDE"/>
    <w:rsid w:val="00887168"/>
    <w:rsid w:val="00887E2C"/>
    <w:rsid w:val="00891B80"/>
    <w:rsid w:val="008922EA"/>
    <w:rsid w:val="00896018"/>
    <w:rsid w:val="008A0C0B"/>
    <w:rsid w:val="008B0145"/>
    <w:rsid w:val="008B2B7B"/>
    <w:rsid w:val="008B37D5"/>
    <w:rsid w:val="008B4E57"/>
    <w:rsid w:val="008C0B59"/>
    <w:rsid w:val="008C0CCA"/>
    <w:rsid w:val="008D2B41"/>
    <w:rsid w:val="008D7EA8"/>
    <w:rsid w:val="008E3114"/>
    <w:rsid w:val="008F11BD"/>
    <w:rsid w:val="008F16E7"/>
    <w:rsid w:val="00900E7F"/>
    <w:rsid w:val="00906621"/>
    <w:rsid w:val="00910CB4"/>
    <w:rsid w:val="00912D22"/>
    <w:rsid w:val="00914BA1"/>
    <w:rsid w:val="00914D44"/>
    <w:rsid w:val="00921C84"/>
    <w:rsid w:val="009227F6"/>
    <w:rsid w:val="00922B44"/>
    <w:rsid w:val="00923DE2"/>
    <w:rsid w:val="00940243"/>
    <w:rsid w:val="00947247"/>
    <w:rsid w:val="009503C4"/>
    <w:rsid w:val="009560EE"/>
    <w:rsid w:val="0096458D"/>
    <w:rsid w:val="009655A9"/>
    <w:rsid w:val="0097035D"/>
    <w:rsid w:val="0097158E"/>
    <w:rsid w:val="0097239C"/>
    <w:rsid w:val="00974529"/>
    <w:rsid w:val="0098527B"/>
    <w:rsid w:val="00987147"/>
    <w:rsid w:val="009872C5"/>
    <w:rsid w:val="00990E6E"/>
    <w:rsid w:val="0099305F"/>
    <w:rsid w:val="009B0C71"/>
    <w:rsid w:val="009B3343"/>
    <w:rsid w:val="009B5961"/>
    <w:rsid w:val="009B672D"/>
    <w:rsid w:val="009C050E"/>
    <w:rsid w:val="009C7426"/>
    <w:rsid w:val="009D7F4B"/>
    <w:rsid w:val="009E2133"/>
    <w:rsid w:val="009E2F29"/>
    <w:rsid w:val="009E3A85"/>
    <w:rsid w:val="009E563C"/>
    <w:rsid w:val="009F3ECF"/>
    <w:rsid w:val="00A02706"/>
    <w:rsid w:val="00A02F89"/>
    <w:rsid w:val="00A05D1B"/>
    <w:rsid w:val="00A11460"/>
    <w:rsid w:val="00A17155"/>
    <w:rsid w:val="00A175A9"/>
    <w:rsid w:val="00A25DF8"/>
    <w:rsid w:val="00A37CDD"/>
    <w:rsid w:val="00A42379"/>
    <w:rsid w:val="00A55AD2"/>
    <w:rsid w:val="00A55DBE"/>
    <w:rsid w:val="00A57048"/>
    <w:rsid w:val="00A62094"/>
    <w:rsid w:val="00A623B3"/>
    <w:rsid w:val="00A656FC"/>
    <w:rsid w:val="00A7686F"/>
    <w:rsid w:val="00A776D2"/>
    <w:rsid w:val="00A85474"/>
    <w:rsid w:val="00AA19BC"/>
    <w:rsid w:val="00AB18FA"/>
    <w:rsid w:val="00AB3B35"/>
    <w:rsid w:val="00AB4072"/>
    <w:rsid w:val="00AB594C"/>
    <w:rsid w:val="00AC1B34"/>
    <w:rsid w:val="00AC5C57"/>
    <w:rsid w:val="00AD0C3D"/>
    <w:rsid w:val="00AD4001"/>
    <w:rsid w:val="00AD605F"/>
    <w:rsid w:val="00AE1332"/>
    <w:rsid w:val="00AE47B9"/>
    <w:rsid w:val="00AE5E6A"/>
    <w:rsid w:val="00B05891"/>
    <w:rsid w:val="00B1147E"/>
    <w:rsid w:val="00B118C8"/>
    <w:rsid w:val="00B118E8"/>
    <w:rsid w:val="00B12A9A"/>
    <w:rsid w:val="00B165D9"/>
    <w:rsid w:val="00B2147D"/>
    <w:rsid w:val="00B23B47"/>
    <w:rsid w:val="00B32940"/>
    <w:rsid w:val="00B52C24"/>
    <w:rsid w:val="00B54488"/>
    <w:rsid w:val="00B5467C"/>
    <w:rsid w:val="00B56797"/>
    <w:rsid w:val="00B712D9"/>
    <w:rsid w:val="00B74BF3"/>
    <w:rsid w:val="00B7555E"/>
    <w:rsid w:val="00B77F13"/>
    <w:rsid w:val="00B82B73"/>
    <w:rsid w:val="00B913DB"/>
    <w:rsid w:val="00B9635B"/>
    <w:rsid w:val="00B97B23"/>
    <w:rsid w:val="00BA0FD1"/>
    <w:rsid w:val="00BA2022"/>
    <w:rsid w:val="00BC1166"/>
    <w:rsid w:val="00BC1A6F"/>
    <w:rsid w:val="00BC68DE"/>
    <w:rsid w:val="00BC7BA5"/>
    <w:rsid w:val="00BD06D3"/>
    <w:rsid w:val="00BD14C0"/>
    <w:rsid w:val="00BD6126"/>
    <w:rsid w:val="00BD7B18"/>
    <w:rsid w:val="00BE1928"/>
    <w:rsid w:val="00BE5419"/>
    <w:rsid w:val="00BF4800"/>
    <w:rsid w:val="00BF7FD7"/>
    <w:rsid w:val="00C0319C"/>
    <w:rsid w:val="00C055A1"/>
    <w:rsid w:val="00C16241"/>
    <w:rsid w:val="00C25579"/>
    <w:rsid w:val="00C267D4"/>
    <w:rsid w:val="00C32462"/>
    <w:rsid w:val="00C33074"/>
    <w:rsid w:val="00C5014C"/>
    <w:rsid w:val="00C52BF1"/>
    <w:rsid w:val="00C67905"/>
    <w:rsid w:val="00C70CF8"/>
    <w:rsid w:val="00C81B78"/>
    <w:rsid w:val="00C8464F"/>
    <w:rsid w:val="00C94CDD"/>
    <w:rsid w:val="00C977F0"/>
    <w:rsid w:val="00CB0056"/>
    <w:rsid w:val="00CB5D4E"/>
    <w:rsid w:val="00CB6259"/>
    <w:rsid w:val="00CC2106"/>
    <w:rsid w:val="00CC3A12"/>
    <w:rsid w:val="00CE3196"/>
    <w:rsid w:val="00D140C0"/>
    <w:rsid w:val="00D143B8"/>
    <w:rsid w:val="00D16E5D"/>
    <w:rsid w:val="00D20C62"/>
    <w:rsid w:val="00D221EE"/>
    <w:rsid w:val="00D22790"/>
    <w:rsid w:val="00D22F6A"/>
    <w:rsid w:val="00D321F9"/>
    <w:rsid w:val="00D364EC"/>
    <w:rsid w:val="00D47530"/>
    <w:rsid w:val="00D752E8"/>
    <w:rsid w:val="00D75A3C"/>
    <w:rsid w:val="00D76300"/>
    <w:rsid w:val="00D77B46"/>
    <w:rsid w:val="00D80EBA"/>
    <w:rsid w:val="00D83952"/>
    <w:rsid w:val="00D93E02"/>
    <w:rsid w:val="00D943B0"/>
    <w:rsid w:val="00D96CEC"/>
    <w:rsid w:val="00DA1CEA"/>
    <w:rsid w:val="00DA4D3E"/>
    <w:rsid w:val="00DA6303"/>
    <w:rsid w:val="00DC213A"/>
    <w:rsid w:val="00DC7586"/>
    <w:rsid w:val="00DD0E66"/>
    <w:rsid w:val="00DD10D9"/>
    <w:rsid w:val="00DE408E"/>
    <w:rsid w:val="00DE5704"/>
    <w:rsid w:val="00DF01BE"/>
    <w:rsid w:val="00DF1F8D"/>
    <w:rsid w:val="00E01987"/>
    <w:rsid w:val="00E01F5D"/>
    <w:rsid w:val="00E023C4"/>
    <w:rsid w:val="00E04BB6"/>
    <w:rsid w:val="00E128A6"/>
    <w:rsid w:val="00E25D63"/>
    <w:rsid w:val="00E5342B"/>
    <w:rsid w:val="00E55CD5"/>
    <w:rsid w:val="00E644CD"/>
    <w:rsid w:val="00E70411"/>
    <w:rsid w:val="00E70D90"/>
    <w:rsid w:val="00E71031"/>
    <w:rsid w:val="00E851FF"/>
    <w:rsid w:val="00E91AFE"/>
    <w:rsid w:val="00E948C3"/>
    <w:rsid w:val="00E97E04"/>
    <w:rsid w:val="00EB26F9"/>
    <w:rsid w:val="00EB3CB5"/>
    <w:rsid w:val="00EC15ED"/>
    <w:rsid w:val="00EC2FFD"/>
    <w:rsid w:val="00EC6EB3"/>
    <w:rsid w:val="00EC70AF"/>
    <w:rsid w:val="00ED1EEF"/>
    <w:rsid w:val="00EE1F36"/>
    <w:rsid w:val="00EE4DF4"/>
    <w:rsid w:val="00EE6692"/>
    <w:rsid w:val="00F02C98"/>
    <w:rsid w:val="00F25715"/>
    <w:rsid w:val="00F25AD1"/>
    <w:rsid w:val="00F3581D"/>
    <w:rsid w:val="00F4714A"/>
    <w:rsid w:val="00F53232"/>
    <w:rsid w:val="00F55C32"/>
    <w:rsid w:val="00F67983"/>
    <w:rsid w:val="00F82870"/>
    <w:rsid w:val="00F82CFC"/>
    <w:rsid w:val="00F84431"/>
    <w:rsid w:val="00F85B1A"/>
    <w:rsid w:val="00F87886"/>
    <w:rsid w:val="00F9475D"/>
    <w:rsid w:val="00FA225C"/>
    <w:rsid w:val="00FA7FB3"/>
    <w:rsid w:val="00FC5195"/>
    <w:rsid w:val="00FD4C25"/>
    <w:rsid w:val="00FD5F43"/>
    <w:rsid w:val="00FD69EE"/>
    <w:rsid w:val="00FD7B3B"/>
    <w:rsid w:val="00FE3BC2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,"/>
  <w14:docId w14:val="07E4CFCB"/>
  <w15:docId w15:val="{91F64523-89E7-47FF-8D34-2CC27D30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30C"/>
    <w:pPr>
      <w:spacing w:after="160" w:line="259" w:lineRule="auto"/>
    </w:pPr>
    <w:rPr>
      <w:rFonts w:eastAsia="Times New Roman" w:cs="Arial"/>
      <w:lang w:val="vi-VN"/>
    </w:rPr>
  </w:style>
  <w:style w:type="paragraph" w:styleId="Heading2">
    <w:name w:val="heading 2"/>
    <w:basedOn w:val="Normal"/>
    <w:next w:val="Normal"/>
    <w:link w:val="Heading2Char"/>
    <w:qFormat/>
    <w:locked/>
    <w:rsid w:val="00522CED"/>
    <w:pPr>
      <w:keepNext/>
      <w:spacing w:after="0" w:line="240" w:lineRule="auto"/>
      <w:outlineLvl w:val="1"/>
    </w:pPr>
    <w:rPr>
      <w:rFonts w:ascii="VNI-Times" w:hAnsi="VNI-Times" w:cs="Times New Roman"/>
      <w:b/>
      <w:sz w:val="28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locked/>
    <w:rsid w:val="00522CED"/>
    <w:pPr>
      <w:keepNext/>
      <w:spacing w:after="0" w:line="240" w:lineRule="auto"/>
      <w:jc w:val="center"/>
      <w:outlineLvl w:val="2"/>
    </w:pPr>
    <w:rPr>
      <w:rFonts w:ascii="VNI-Times" w:hAnsi="VNI-Times" w:cs="Times New Roman"/>
      <w:b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8C0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DD0333"/>
    <w:rPr>
      <w:rFonts w:ascii="Times New Roman" w:eastAsia="Times New Roman" w:hAnsi="Times New Roman" w:cs="Arial"/>
      <w:sz w:val="0"/>
      <w:szCs w:val="0"/>
      <w:lang w:val="vi-VN"/>
    </w:rPr>
  </w:style>
  <w:style w:type="character" w:customStyle="1" w:styleId="BalloonTextChar1">
    <w:name w:val="Balloon Text Char1"/>
    <w:link w:val="BalloonText"/>
    <w:uiPriority w:val="99"/>
    <w:semiHidden/>
    <w:locked/>
    <w:rsid w:val="008C0B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C7586"/>
    <w:pPr>
      <w:ind w:left="720"/>
    </w:pPr>
  </w:style>
  <w:style w:type="table" w:styleId="TableGrid">
    <w:name w:val="Table Grid"/>
    <w:basedOn w:val="TableNormal"/>
    <w:uiPriority w:val="99"/>
    <w:rsid w:val="00910CB4"/>
    <w:rPr>
      <w:rFonts w:eastAsia="Times New Roman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7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155"/>
    <w:rPr>
      <w:rFonts w:eastAsia="Times New Roman" w:cs="Arial"/>
      <w:lang w:val="vi-VN"/>
    </w:rPr>
  </w:style>
  <w:style w:type="paragraph" w:styleId="Footer">
    <w:name w:val="footer"/>
    <w:basedOn w:val="Normal"/>
    <w:link w:val="FooterChar"/>
    <w:uiPriority w:val="99"/>
    <w:unhideWhenUsed/>
    <w:rsid w:val="00A17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155"/>
    <w:rPr>
      <w:rFonts w:eastAsia="Times New Roman" w:cs="Arial"/>
      <w:lang w:val="vi-VN"/>
    </w:rPr>
  </w:style>
  <w:style w:type="character" w:customStyle="1" w:styleId="Heading2Char">
    <w:name w:val="Heading 2 Char"/>
    <w:basedOn w:val="DefaultParagraphFont"/>
    <w:link w:val="Heading2"/>
    <w:rsid w:val="00522CED"/>
    <w:rPr>
      <w:rFonts w:ascii="VNI-Times" w:eastAsia="Times New Roman" w:hAnsi="VNI-Times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522CED"/>
    <w:rPr>
      <w:rFonts w:ascii="VNI-Times" w:eastAsia="Times New Roman" w:hAnsi="VNI-Times"/>
      <w:b/>
      <w:sz w:val="26"/>
      <w:szCs w:val="20"/>
    </w:rPr>
  </w:style>
  <w:style w:type="character" w:customStyle="1" w:styleId="fontstyle01">
    <w:name w:val="fontstyle01"/>
    <w:basedOn w:val="DefaultParagraphFont"/>
    <w:rsid w:val="00B544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EEED5-5C54-408A-975E-F5F7F04E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HOME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subject/>
  <dc:creator>LTH</dc:creator>
  <cp:keywords/>
  <dc:description/>
  <cp:lastModifiedBy>pc</cp:lastModifiedBy>
  <cp:revision>27</cp:revision>
  <cp:lastPrinted>2022-03-24T08:37:00Z</cp:lastPrinted>
  <dcterms:created xsi:type="dcterms:W3CDTF">2022-03-27T23:45:00Z</dcterms:created>
  <dcterms:modified xsi:type="dcterms:W3CDTF">2022-05-19T02:57:00Z</dcterms:modified>
</cp:coreProperties>
</file>