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73B3" w14:textId="77777777" w:rsidR="00BC4927" w:rsidRPr="009D24D2" w:rsidRDefault="00BC4927" w:rsidP="003A6AFA">
      <w:pPr>
        <w:keepNext/>
        <w:keepLines/>
        <w:spacing w:before="240" w:line="240" w:lineRule="auto"/>
        <w:ind w:firstLine="567"/>
        <w:outlineLvl w:val="0"/>
        <w:rPr>
          <w:rFonts w:eastAsia="Calibri"/>
          <w:b/>
          <w:color w:val="FF0000"/>
          <w:szCs w:val="28"/>
        </w:rPr>
      </w:pPr>
      <w:r w:rsidRPr="009D24D2">
        <w:rPr>
          <w:rFonts w:eastAsia="Calibri"/>
          <w:b/>
          <w:color w:val="FF0000"/>
          <w:szCs w:val="28"/>
        </w:rPr>
        <w:t>VII. LĨNH VỰC VIỆC LÀM</w:t>
      </w:r>
    </w:p>
    <w:p w14:paraId="6D5780C0" w14:textId="77777777" w:rsidR="00D16DC0" w:rsidRPr="003518C4" w:rsidRDefault="00BC4927" w:rsidP="00D16DC0">
      <w:pPr>
        <w:keepNext/>
        <w:spacing w:before="120" w:after="120" w:line="240" w:lineRule="auto"/>
        <w:ind w:firstLine="567"/>
        <w:outlineLvl w:val="1"/>
        <w:rPr>
          <w:rFonts w:eastAsia="Calibri"/>
          <w:b/>
          <w:bCs/>
          <w:iCs/>
          <w:color w:val="0070C0"/>
          <w:szCs w:val="28"/>
        </w:rPr>
      </w:pPr>
      <w:r w:rsidRPr="00BC4927">
        <w:rPr>
          <w:rFonts w:eastAsia="Calibri"/>
          <w:b/>
          <w:bCs/>
          <w:iCs/>
          <w:color w:val="0070C0"/>
          <w:szCs w:val="28"/>
        </w:rPr>
        <w:t xml:space="preserve">1. </w:t>
      </w:r>
      <w:r w:rsidR="00D16DC0" w:rsidRPr="003518C4">
        <w:rPr>
          <w:rFonts w:eastAsia="Calibri"/>
          <w:b/>
          <w:bCs/>
          <w:iCs/>
          <w:color w:val="0070C0"/>
          <w:szCs w:val="28"/>
        </w:rPr>
        <w:t>Tham gia bảo hiểm thất nghiệp (2.000888)</w:t>
      </w:r>
    </w:p>
    <w:p w14:paraId="50F34713" w14:textId="77777777" w:rsidR="00D16DC0" w:rsidRPr="00BC4927" w:rsidRDefault="00D16DC0" w:rsidP="00D16DC0">
      <w:pPr>
        <w:numPr>
          <w:ilvl w:val="1"/>
          <w:numId w:val="14"/>
        </w:numPr>
        <w:tabs>
          <w:tab w:val="left" w:pos="11115"/>
        </w:tabs>
        <w:spacing w:before="120" w:after="120" w:line="240" w:lineRule="auto"/>
        <w:contextualSpacing/>
        <w:jc w:val="left"/>
        <w:rPr>
          <w:rFonts w:eastAsia="Calibri"/>
          <w:b/>
          <w:szCs w:val="28"/>
        </w:rPr>
      </w:pPr>
      <w:r w:rsidRPr="00BC4927">
        <w:rPr>
          <w:rFonts w:eastAsia="Calibri"/>
          <w:b/>
          <w:szCs w:val="28"/>
        </w:rPr>
        <w:t>Trình tự, cách thức, thời gian giải quyết thủ tục hành chính</w:t>
      </w:r>
      <w:r w:rsidRPr="00BC4927">
        <w:rPr>
          <w:rFonts w:eastAsia="Calibri"/>
          <w:b/>
          <w:szCs w:val="28"/>
        </w:rPr>
        <w:tab/>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8241"/>
        <w:gridCol w:w="2674"/>
      </w:tblGrid>
      <w:tr w:rsidR="00D16DC0" w:rsidRPr="00BC4927" w14:paraId="410A823B" w14:textId="77777777" w:rsidTr="00BF20BC">
        <w:trPr>
          <w:trHeight w:val="70"/>
          <w:jc w:val="center"/>
        </w:trPr>
        <w:tc>
          <w:tcPr>
            <w:tcW w:w="851" w:type="dxa"/>
            <w:vAlign w:val="center"/>
          </w:tcPr>
          <w:p w14:paraId="1FFA9186" w14:textId="77777777" w:rsidR="00D16DC0" w:rsidRPr="00BC4927" w:rsidRDefault="00D16DC0" w:rsidP="00BF20BC">
            <w:pPr>
              <w:spacing w:before="120" w:after="120" w:line="240" w:lineRule="auto"/>
              <w:jc w:val="center"/>
              <w:rPr>
                <w:rFonts w:eastAsia="Calibri"/>
                <w:b/>
                <w:szCs w:val="28"/>
                <w:lang w:val="en-US"/>
              </w:rPr>
            </w:pPr>
            <w:r w:rsidRPr="00BC4927">
              <w:rPr>
                <w:rFonts w:eastAsia="Calibri"/>
                <w:b/>
                <w:szCs w:val="28"/>
                <w:lang w:val="en-US"/>
              </w:rPr>
              <w:t>TT</w:t>
            </w:r>
          </w:p>
        </w:tc>
        <w:tc>
          <w:tcPr>
            <w:tcW w:w="2546" w:type="dxa"/>
            <w:vAlign w:val="center"/>
          </w:tcPr>
          <w:p w14:paraId="6AAD918D" w14:textId="77777777" w:rsidR="00D16DC0" w:rsidRPr="00BC4927" w:rsidRDefault="00D16DC0" w:rsidP="00BF20BC">
            <w:pPr>
              <w:spacing w:before="120" w:after="120" w:line="240" w:lineRule="auto"/>
              <w:jc w:val="center"/>
              <w:rPr>
                <w:rFonts w:eastAsia="Calibri"/>
                <w:b/>
                <w:szCs w:val="28"/>
                <w:lang w:val="en-US"/>
              </w:rPr>
            </w:pPr>
            <w:r w:rsidRPr="00BC4927">
              <w:rPr>
                <w:rFonts w:eastAsia="Calibri"/>
                <w:b/>
                <w:szCs w:val="28"/>
                <w:lang w:val="en-US"/>
              </w:rPr>
              <w:t>Trình tự thực hiện</w:t>
            </w:r>
          </w:p>
        </w:tc>
        <w:tc>
          <w:tcPr>
            <w:tcW w:w="8241" w:type="dxa"/>
            <w:vAlign w:val="center"/>
          </w:tcPr>
          <w:p w14:paraId="1FB5C031" w14:textId="77777777" w:rsidR="00D16DC0" w:rsidRPr="00BC4927" w:rsidRDefault="00D16DC0" w:rsidP="00BF20BC">
            <w:pPr>
              <w:spacing w:before="120" w:after="120" w:line="240" w:lineRule="auto"/>
              <w:ind w:firstLine="337"/>
              <w:jc w:val="center"/>
              <w:rPr>
                <w:rFonts w:eastAsia="Calibri"/>
                <w:b/>
                <w:szCs w:val="28"/>
                <w:lang w:val="en-US"/>
              </w:rPr>
            </w:pPr>
            <w:r w:rsidRPr="00BC4927">
              <w:rPr>
                <w:rFonts w:eastAsia="Calibri"/>
                <w:b/>
                <w:szCs w:val="28"/>
                <w:lang w:val="en-US"/>
              </w:rPr>
              <w:t>Cách thức thực hiện</w:t>
            </w:r>
          </w:p>
        </w:tc>
        <w:tc>
          <w:tcPr>
            <w:tcW w:w="2674" w:type="dxa"/>
            <w:vAlign w:val="center"/>
          </w:tcPr>
          <w:p w14:paraId="1A9AD5D8" w14:textId="77777777" w:rsidR="00D16DC0" w:rsidRPr="00BC4927" w:rsidRDefault="00D16DC0" w:rsidP="00BF20BC">
            <w:pPr>
              <w:spacing w:before="120" w:after="120" w:line="240" w:lineRule="auto"/>
              <w:jc w:val="center"/>
              <w:rPr>
                <w:rFonts w:eastAsia="Calibri"/>
                <w:b/>
                <w:szCs w:val="28"/>
                <w:lang w:val="en-US"/>
              </w:rPr>
            </w:pPr>
            <w:r w:rsidRPr="00BC4927">
              <w:rPr>
                <w:rFonts w:eastAsia="Calibri"/>
                <w:b/>
                <w:szCs w:val="28"/>
                <w:lang w:val="en-US"/>
              </w:rPr>
              <w:t>Thời gian giải quyết</w:t>
            </w:r>
          </w:p>
        </w:tc>
      </w:tr>
      <w:tr w:rsidR="00D16DC0" w:rsidRPr="00BC4927" w14:paraId="2782E143" w14:textId="77777777" w:rsidTr="00BF20BC">
        <w:trPr>
          <w:trHeight w:val="1906"/>
          <w:jc w:val="center"/>
        </w:trPr>
        <w:tc>
          <w:tcPr>
            <w:tcW w:w="851" w:type="dxa"/>
            <w:vAlign w:val="center"/>
          </w:tcPr>
          <w:p w14:paraId="4B32E534" w14:textId="77777777" w:rsidR="00D16DC0" w:rsidRPr="00BC4927" w:rsidRDefault="00D16DC0" w:rsidP="00BF20BC">
            <w:pPr>
              <w:spacing w:before="120" w:after="120" w:line="240" w:lineRule="auto"/>
              <w:jc w:val="center"/>
              <w:rPr>
                <w:rFonts w:eastAsia="Calibri"/>
                <w:b/>
                <w:szCs w:val="28"/>
                <w:lang w:val="en-US"/>
              </w:rPr>
            </w:pPr>
            <w:r w:rsidRPr="00BC4927">
              <w:rPr>
                <w:rFonts w:eastAsia="Calibri"/>
                <w:b/>
                <w:szCs w:val="28"/>
                <w:lang w:val="en-US"/>
              </w:rPr>
              <w:t>Bước 1</w:t>
            </w:r>
          </w:p>
        </w:tc>
        <w:tc>
          <w:tcPr>
            <w:tcW w:w="2546" w:type="dxa"/>
            <w:vAlign w:val="center"/>
          </w:tcPr>
          <w:p w14:paraId="7A8FD893" w14:textId="77777777" w:rsidR="00D16DC0" w:rsidRPr="00BC4927" w:rsidRDefault="00D16DC0" w:rsidP="00BF20BC">
            <w:pPr>
              <w:spacing w:before="120" w:after="120" w:line="240" w:lineRule="auto"/>
              <w:rPr>
                <w:rFonts w:eastAsia="Calibri"/>
                <w:szCs w:val="28"/>
                <w:lang w:val="en-US"/>
              </w:rPr>
            </w:pPr>
            <w:r w:rsidRPr="00BC4927">
              <w:rPr>
                <w:rFonts w:eastAsia="Calibri"/>
                <w:b/>
                <w:szCs w:val="28"/>
                <w:lang w:val="en-US"/>
              </w:rPr>
              <w:t>Nộp hồ sơ thủ tục hành chính:</w:t>
            </w:r>
            <w:r w:rsidRPr="00BC4927">
              <w:rPr>
                <w:rFonts w:eastAsia="Calibri"/>
                <w:szCs w:val="28"/>
                <w:lang w:val="en-US"/>
              </w:rPr>
              <w:t xml:space="preserve"> </w:t>
            </w:r>
            <w:r w:rsidRPr="00BC4927">
              <w:rPr>
                <w:rFonts w:eastAsia="Calibri"/>
                <w:i/>
                <w:szCs w:val="28"/>
                <w:lang w:val="en-US"/>
              </w:rPr>
              <w:t>Cá nhân chuẩn bị hồ sơ đầy đủ theo quy định và nộp hồ sơ qua các cách thức sau:</w:t>
            </w:r>
          </w:p>
        </w:tc>
        <w:tc>
          <w:tcPr>
            <w:tcW w:w="8241" w:type="dxa"/>
          </w:tcPr>
          <w:p w14:paraId="7B7473B0" w14:textId="77777777" w:rsidR="00D16DC0" w:rsidRPr="00D16DC0" w:rsidRDefault="00D16DC0" w:rsidP="00BF20BC">
            <w:pPr>
              <w:spacing w:before="120" w:after="120" w:line="240" w:lineRule="auto"/>
              <w:ind w:firstLine="306"/>
              <w:rPr>
                <w:szCs w:val="28"/>
                <w:lang w:val="en-US"/>
              </w:rPr>
            </w:pPr>
            <w:r w:rsidRPr="006545E5">
              <w:rPr>
                <w:szCs w:val="28"/>
              </w:rPr>
              <w:t xml:space="preserve">Trong thời hạn 30 ngày, kể từ ngày hợp đồng lao động hoặc hợp đồng làm việc có hiệu lực, người sử dụng lao động lập và nộp hồ sơ tham gia bảo hiểm thất nghiệp của người lao động cho </w:t>
            </w:r>
            <w:r>
              <w:rPr>
                <w:szCs w:val="28"/>
              </w:rPr>
              <w:t>cơ quan</w:t>
            </w:r>
            <w:r w:rsidRPr="006545E5">
              <w:rPr>
                <w:szCs w:val="28"/>
              </w:rPr>
              <w:t xml:space="preserve"> bảo hiểm xã hội.</w:t>
            </w:r>
            <w:r>
              <w:rPr>
                <w:szCs w:val="28"/>
                <w:lang w:val="en-US"/>
              </w:rPr>
              <w:t xml:space="preserve"> </w:t>
            </w:r>
            <w:r w:rsidRPr="006545E5">
              <w:rPr>
                <w:szCs w:val="28"/>
              </w:rPr>
              <w:t xml:space="preserve">Hằng tháng, người sử dụng lao động đóng bảo hiểm thất nghiệp theo mức bằng 1% quỹ tiền lương tháng của những người lao động đang tham gia bảo hiểm thất nghiệp và trích tiền lương của từng người lao động theo mức bằng 1% tiền lương tháng để đóng cùng một lúc vào </w:t>
            </w:r>
            <w:r>
              <w:rPr>
                <w:szCs w:val="28"/>
              </w:rPr>
              <w:t>q</w:t>
            </w:r>
            <w:r w:rsidRPr="006545E5">
              <w:rPr>
                <w:szCs w:val="28"/>
              </w:rPr>
              <w:t>uỹ bảo hiểm thất nghiệp.</w:t>
            </w:r>
          </w:p>
          <w:p w14:paraId="3D87238B" w14:textId="77777777" w:rsidR="00D16DC0" w:rsidRPr="00BC4927" w:rsidRDefault="00D16DC0" w:rsidP="00BF20BC">
            <w:pPr>
              <w:spacing w:before="120" w:after="120" w:line="240" w:lineRule="auto"/>
              <w:ind w:firstLine="337"/>
              <w:rPr>
                <w:rFonts w:eastAsia="Calibri"/>
                <w:i/>
                <w:szCs w:val="28"/>
                <w:lang w:val="en-US"/>
              </w:rPr>
            </w:pPr>
            <w:r w:rsidRPr="006545E5">
              <w:rPr>
                <w:szCs w:val="28"/>
              </w:rPr>
              <w:t>Người sử dụng lao động lập và nộp hồ sơ tham gia bảo hiểm thất nghiệp, đóng bảo hiểm thất nghiệp theo mức quy định của người lao động cho cơ quan bảo hiểm xã hội.</w:t>
            </w:r>
          </w:p>
        </w:tc>
        <w:tc>
          <w:tcPr>
            <w:tcW w:w="2674" w:type="dxa"/>
            <w:vAlign w:val="center"/>
          </w:tcPr>
          <w:p w14:paraId="046B6809" w14:textId="77777777" w:rsidR="00D16DC0" w:rsidRPr="00BC4927" w:rsidRDefault="00D16DC0" w:rsidP="00BF20BC">
            <w:pPr>
              <w:spacing w:before="120" w:after="120" w:line="240" w:lineRule="auto"/>
              <w:rPr>
                <w:rFonts w:eastAsia="Calibri"/>
                <w:szCs w:val="28"/>
                <w:lang w:val="en-US"/>
              </w:rPr>
            </w:pPr>
            <w:r w:rsidRPr="00BC4927">
              <w:rPr>
                <w:rFonts w:eastAsia="Calibri"/>
                <w:b/>
                <w:szCs w:val="28"/>
                <w:lang w:val="en-US"/>
              </w:rPr>
              <w:t>Sáng:</w:t>
            </w:r>
            <w:r w:rsidRPr="00BC4927">
              <w:rPr>
                <w:rFonts w:eastAsia="Calibri"/>
                <w:szCs w:val="28"/>
                <w:lang w:val="en-US"/>
              </w:rPr>
              <w:t xml:space="preserve"> từ 07 giờ đến 11 giờ 30 phút; </w:t>
            </w:r>
            <w:r w:rsidRPr="00BC4927">
              <w:rPr>
                <w:rFonts w:eastAsia="Calibri"/>
                <w:b/>
                <w:szCs w:val="28"/>
                <w:lang w:val="en-US"/>
              </w:rPr>
              <w:t>Chiều:</w:t>
            </w:r>
            <w:r w:rsidRPr="00BC4927">
              <w:rPr>
                <w:rFonts w:eastAsia="Calibri"/>
                <w:szCs w:val="28"/>
                <w:lang w:val="en-US"/>
              </w:rPr>
              <w:t xml:space="preserve"> từ 13 giờ 30 phút đến 17 giờ của các ngày làm việc.</w:t>
            </w:r>
          </w:p>
        </w:tc>
      </w:tr>
      <w:tr w:rsidR="00D16DC0" w:rsidRPr="00BC4927" w14:paraId="593ED334" w14:textId="77777777" w:rsidTr="00BF20BC">
        <w:trPr>
          <w:jc w:val="center"/>
        </w:trPr>
        <w:tc>
          <w:tcPr>
            <w:tcW w:w="851" w:type="dxa"/>
            <w:vAlign w:val="center"/>
          </w:tcPr>
          <w:p w14:paraId="63087F76" w14:textId="77777777" w:rsidR="00D16DC0" w:rsidRPr="00BC4927" w:rsidRDefault="00D16DC0" w:rsidP="00BF20BC">
            <w:pPr>
              <w:spacing w:before="120" w:after="120" w:line="240" w:lineRule="auto"/>
              <w:jc w:val="center"/>
              <w:rPr>
                <w:rFonts w:eastAsia="Calibri"/>
                <w:b/>
                <w:szCs w:val="28"/>
                <w:lang w:val="en-US"/>
              </w:rPr>
            </w:pPr>
            <w:r w:rsidRPr="00BC4927">
              <w:rPr>
                <w:rFonts w:eastAsia="Calibri"/>
                <w:b/>
                <w:szCs w:val="28"/>
                <w:lang w:val="en-US"/>
              </w:rPr>
              <w:t>Bước 2</w:t>
            </w:r>
          </w:p>
        </w:tc>
        <w:tc>
          <w:tcPr>
            <w:tcW w:w="2546" w:type="dxa"/>
            <w:vAlign w:val="center"/>
          </w:tcPr>
          <w:p w14:paraId="580EAD94" w14:textId="77777777" w:rsidR="00D16DC0" w:rsidRPr="00BC4927" w:rsidRDefault="00D16DC0" w:rsidP="00BF20BC">
            <w:pPr>
              <w:spacing w:before="120" w:after="120" w:line="240" w:lineRule="auto"/>
              <w:rPr>
                <w:rFonts w:eastAsia="Calibri"/>
                <w:b/>
                <w:szCs w:val="28"/>
                <w:lang w:val="en-US"/>
              </w:rPr>
            </w:pPr>
            <w:r w:rsidRPr="00BC4927">
              <w:rPr>
                <w:rFonts w:eastAsia="Calibri"/>
                <w:b/>
                <w:szCs w:val="28"/>
                <w:lang w:val="en-US"/>
              </w:rPr>
              <w:t>Tiếp nhận và chuyển hồ sơ thủ tục hành chính</w:t>
            </w:r>
          </w:p>
        </w:tc>
        <w:tc>
          <w:tcPr>
            <w:tcW w:w="8241" w:type="dxa"/>
          </w:tcPr>
          <w:p w14:paraId="4625ED31" w14:textId="77777777" w:rsidR="00D16DC0" w:rsidRPr="00BC4927" w:rsidRDefault="00BF20BC" w:rsidP="00BF20BC">
            <w:pPr>
              <w:spacing w:before="120" w:after="120" w:line="240" w:lineRule="auto"/>
              <w:ind w:firstLine="306"/>
              <w:rPr>
                <w:rFonts w:eastAsia="Calibri"/>
                <w:szCs w:val="28"/>
                <w:lang w:val="en-US"/>
              </w:rPr>
            </w:pPr>
            <w:r w:rsidRPr="006545E5">
              <w:rPr>
                <w:szCs w:val="28"/>
              </w:rPr>
              <w:t>Theo quy định của Bảo hiểm xã hội Việt Nam.</w:t>
            </w:r>
          </w:p>
        </w:tc>
        <w:tc>
          <w:tcPr>
            <w:tcW w:w="2674" w:type="dxa"/>
            <w:vAlign w:val="center"/>
          </w:tcPr>
          <w:p w14:paraId="38095641" w14:textId="77777777" w:rsidR="00D16DC0" w:rsidRPr="00BC4927" w:rsidRDefault="00D16DC0" w:rsidP="00BF20BC">
            <w:pPr>
              <w:spacing w:before="120" w:after="120" w:line="240" w:lineRule="auto"/>
              <w:rPr>
                <w:rFonts w:eastAsia="Calibri"/>
                <w:szCs w:val="28"/>
                <w:lang w:val="en-US"/>
              </w:rPr>
            </w:pPr>
          </w:p>
        </w:tc>
      </w:tr>
      <w:tr w:rsidR="00D16DC0" w:rsidRPr="00BC4927" w14:paraId="2E24EA34" w14:textId="77777777" w:rsidTr="00BF20BC">
        <w:trPr>
          <w:jc w:val="center"/>
        </w:trPr>
        <w:tc>
          <w:tcPr>
            <w:tcW w:w="851" w:type="dxa"/>
            <w:vAlign w:val="center"/>
          </w:tcPr>
          <w:p w14:paraId="5A3958B1" w14:textId="77777777" w:rsidR="00D16DC0" w:rsidRPr="00BC4927" w:rsidRDefault="00D16DC0" w:rsidP="00BF20BC">
            <w:pPr>
              <w:spacing w:before="120" w:after="120" w:line="240" w:lineRule="auto"/>
              <w:jc w:val="center"/>
              <w:rPr>
                <w:rFonts w:eastAsia="Calibri"/>
                <w:b/>
                <w:szCs w:val="28"/>
                <w:lang w:val="en-US"/>
              </w:rPr>
            </w:pPr>
            <w:r w:rsidRPr="00BC4927">
              <w:rPr>
                <w:rFonts w:eastAsia="Calibri"/>
                <w:b/>
                <w:szCs w:val="28"/>
                <w:lang w:val="en-US"/>
              </w:rPr>
              <w:t>Bước 3</w:t>
            </w:r>
          </w:p>
        </w:tc>
        <w:tc>
          <w:tcPr>
            <w:tcW w:w="2546" w:type="dxa"/>
            <w:vAlign w:val="center"/>
          </w:tcPr>
          <w:p w14:paraId="650C603B" w14:textId="77777777" w:rsidR="00D16DC0" w:rsidRPr="00BC4927" w:rsidRDefault="00D16DC0" w:rsidP="00BF20BC">
            <w:pPr>
              <w:spacing w:before="120" w:after="120" w:line="240" w:lineRule="auto"/>
              <w:rPr>
                <w:rFonts w:eastAsia="Calibri"/>
                <w:b/>
                <w:szCs w:val="28"/>
                <w:lang w:val="en-US"/>
              </w:rPr>
            </w:pPr>
            <w:r w:rsidRPr="00BC4927">
              <w:rPr>
                <w:rFonts w:eastAsia="Calibri"/>
                <w:b/>
                <w:szCs w:val="28"/>
                <w:lang w:val="en-US"/>
              </w:rPr>
              <w:t>Giải quyết thủ tục hành chính</w:t>
            </w:r>
          </w:p>
        </w:tc>
        <w:tc>
          <w:tcPr>
            <w:tcW w:w="8241" w:type="dxa"/>
          </w:tcPr>
          <w:p w14:paraId="26D4A0C9" w14:textId="77777777" w:rsidR="00D16DC0" w:rsidRPr="00BC4927" w:rsidRDefault="00BF20BC" w:rsidP="00BF20BC">
            <w:pPr>
              <w:spacing w:before="120" w:after="120" w:line="240" w:lineRule="auto"/>
              <w:ind w:firstLine="337"/>
              <w:rPr>
                <w:rFonts w:eastAsia="Calibri"/>
                <w:szCs w:val="28"/>
                <w:lang w:val="en-US"/>
              </w:rPr>
            </w:pPr>
            <w:r w:rsidRPr="006545E5">
              <w:rPr>
                <w:szCs w:val="28"/>
              </w:rPr>
              <w:t>Theo quy định của Bảo hiểm xã hội Việt Nam.</w:t>
            </w:r>
          </w:p>
        </w:tc>
        <w:tc>
          <w:tcPr>
            <w:tcW w:w="2674" w:type="dxa"/>
            <w:vAlign w:val="center"/>
          </w:tcPr>
          <w:p w14:paraId="46290155" w14:textId="77777777" w:rsidR="00D16DC0" w:rsidRPr="00BC4927" w:rsidRDefault="00D16DC0" w:rsidP="00BF20BC">
            <w:pPr>
              <w:spacing w:before="120" w:after="120" w:line="240" w:lineRule="auto"/>
              <w:rPr>
                <w:rFonts w:eastAsia="Calibri"/>
                <w:szCs w:val="28"/>
                <w:lang w:val="en-US"/>
              </w:rPr>
            </w:pPr>
          </w:p>
        </w:tc>
      </w:tr>
      <w:tr w:rsidR="00D16DC0" w:rsidRPr="00BC4927" w14:paraId="2CE1853B" w14:textId="77777777" w:rsidTr="00BF20BC">
        <w:trPr>
          <w:jc w:val="center"/>
        </w:trPr>
        <w:tc>
          <w:tcPr>
            <w:tcW w:w="851" w:type="dxa"/>
            <w:vAlign w:val="center"/>
          </w:tcPr>
          <w:p w14:paraId="59399BF0" w14:textId="77777777" w:rsidR="00D16DC0" w:rsidRPr="00BC4927" w:rsidRDefault="00D16DC0" w:rsidP="00BF20BC">
            <w:pPr>
              <w:spacing w:before="100" w:after="100" w:line="240" w:lineRule="auto"/>
              <w:jc w:val="center"/>
              <w:rPr>
                <w:rFonts w:eastAsia="Calibri"/>
                <w:b/>
                <w:szCs w:val="28"/>
                <w:lang w:val="en-US"/>
              </w:rPr>
            </w:pPr>
            <w:r w:rsidRPr="00BC4927">
              <w:rPr>
                <w:rFonts w:eastAsia="Calibri"/>
                <w:b/>
                <w:szCs w:val="28"/>
                <w:lang w:val="en-US"/>
              </w:rPr>
              <w:t>Bước 4</w:t>
            </w:r>
          </w:p>
        </w:tc>
        <w:tc>
          <w:tcPr>
            <w:tcW w:w="2546" w:type="dxa"/>
            <w:vAlign w:val="center"/>
          </w:tcPr>
          <w:p w14:paraId="1220383B" w14:textId="77777777" w:rsidR="00D16DC0" w:rsidRPr="00BC4927" w:rsidRDefault="00D16DC0" w:rsidP="00BF20BC">
            <w:pPr>
              <w:spacing w:before="100" w:after="100" w:line="240" w:lineRule="auto"/>
              <w:rPr>
                <w:rFonts w:eastAsia="Calibri"/>
                <w:b/>
                <w:szCs w:val="28"/>
                <w:lang w:val="en-US"/>
              </w:rPr>
            </w:pPr>
            <w:r w:rsidRPr="00BC4927">
              <w:rPr>
                <w:rFonts w:eastAsia="Calibri"/>
                <w:b/>
                <w:szCs w:val="28"/>
                <w:lang w:val="en-US"/>
              </w:rPr>
              <w:t>Trả kết quả giải quyết thủ tục hành chính</w:t>
            </w:r>
          </w:p>
        </w:tc>
        <w:tc>
          <w:tcPr>
            <w:tcW w:w="8241" w:type="dxa"/>
          </w:tcPr>
          <w:p w14:paraId="7919F470" w14:textId="77777777" w:rsidR="00D16DC0" w:rsidRPr="00BC4927" w:rsidRDefault="00BF20BC" w:rsidP="00BF20BC">
            <w:pPr>
              <w:spacing w:before="100" w:after="100" w:line="240" w:lineRule="auto"/>
              <w:ind w:firstLine="337"/>
              <w:rPr>
                <w:rFonts w:eastAsia="Calibri"/>
                <w:szCs w:val="28"/>
                <w:lang w:val="en-US"/>
              </w:rPr>
            </w:pPr>
            <w:r w:rsidRPr="006545E5">
              <w:rPr>
                <w:szCs w:val="28"/>
              </w:rPr>
              <w:t>Theo quy định của Bảo hiểm xã hội Việt Nam.</w:t>
            </w:r>
          </w:p>
        </w:tc>
        <w:tc>
          <w:tcPr>
            <w:tcW w:w="2674" w:type="dxa"/>
            <w:vAlign w:val="center"/>
          </w:tcPr>
          <w:p w14:paraId="73C3780D" w14:textId="77777777" w:rsidR="00D16DC0" w:rsidRPr="00BC4927" w:rsidRDefault="00BF20BC" w:rsidP="00BF20BC">
            <w:pPr>
              <w:spacing w:before="100" w:after="100" w:line="240" w:lineRule="auto"/>
              <w:rPr>
                <w:rFonts w:eastAsia="Calibri"/>
                <w:szCs w:val="28"/>
                <w:lang w:val="en-US"/>
              </w:rPr>
            </w:pPr>
            <w:r w:rsidRPr="00BC4927">
              <w:rPr>
                <w:rFonts w:eastAsia="Calibri"/>
                <w:b/>
                <w:szCs w:val="28"/>
                <w:lang w:val="en-US"/>
              </w:rPr>
              <w:t>Sáng:</w:t>
            </w:r>
            <w:r w:rsidRPr="00BC4927">
              <w:rPr>
                <w:rFonts w:eastAsia="Calibri"/>
                <w:szCs w:val="28"/>
                <w:lang w:val="en-US"/>
              </w:rPr>
              <w:t xml:space="preserve"> từ 07 giờ đến 11 giờ 30 phút; </w:t>
            </w:r>
            <w:r w:rsidRPr="00BC4927">
              <w:rPr>
                <w:rFonts w:eastAsia="Calibri"/>
                <w:b/>
                <w:szCs w:val="28"/>
                <w:lang w:val="en-US"/>
              </w:rPr>
              <w:t>Chiều:</w:t>
            </w:r>
            <w:r w:rsidRPr="00BC4927">
              <w:rPr>
                <w:rFonts w:eastAsia="Calibri"/>
                <w:szCs w:val="28"/>
                <w:lang w:val="en-US"/>
              </w:rPr>
              <w:t xml:space="preserve"> từ 13 giờ 30 phút đến 17 giờ của các ngày làm việc.</w:t>
            </w:r>
          </w:p>
        </w:tc>
      </w:tr>
    </w:tbl>
    <w:p w14:paraId="62C101AC" w14:textId="77777777" w:rsidR="00D16DC0" w:rsidRPr="009D24D2" w:rsidRDefault="00D16DC0" w:rsidP="00954025">
      <w:pPr>
        <w:numPr>
          <w:ilvl w:val="1"/>
          <w:numId w:val="14"/>
        </w:numPr>
        <w:tabs>
          <w:tab w:val="left" w:pos="1134"/>
          <w:tab w:val="left" w:pos="1276"/>
        </w:tabs>
        <w:spacing w:before="100" w:after="100" w:line="240" w:lineRule="auto"/>
        <w:ind w:left="0" w:firstLine="567"/>
        <w:jc w:val="left"/>
        <w:rPr>
          <w:rFonts w:eastAsia="Calibri"/>
          <w:b/>
          <w:szCs w:val="28"/>
        </w:rPr>
      </w:pPr>
      <w:r w:rsidRPr="009D24D2">
        <w:rPr>
          <w:rFonts w:eastAsia="Calibri"/>
          <w:b/>
          <w:szCs w:val="28"/>
        </w:rPr>
        <w:t>Thành phần, số lượng hồ sơ</w:t>
      </w:r>
    </w:p>
    <w:p w14:paraId="216A0A23" w14:textId="77777777" w:rsidR="00D16DC0" w:rsidRPr="003518C4" w:rsidRDefault="00D16DC0" w:rsidP="00954025">
      <w:pPr>
        <w:tabs>
          <w:tab w:val="left" w:pos="1134"/>
          <w:tab w:val="left" w:pos="1276"/>
        </w:tabs>
        <w:spacing w:before="100" w:after="100" w:line="240" w:lineRule="auto"/>
        <w:ind w:firstLine="567"/>
        <w:rPr>
          <w:rFonts w:eastAsia="Calibri"/>
          <w:szCs w:val="28"/>
        </w:rPr>
      </w:pPr>
      <w:r w:rsidRPr="009D24D2">
        <w:rPr>
          <w:rFonts w:eastAsia="Calibri"/>
          <w:b/>
          <w:szCs w:val="28"/>
          <w:shd w:val="clear" w:color="auto" w:fill="FFFFFF"/>
        </w:rPr>
        <w:lastRenderedPageBreak/>
        <w:t>a) Thành phần hồ sơ</w:t>
      </w:r>
      <w:r w:rsidR="00954025" w:rsidRPr="003518C4">
        <w:rPr>
          <w:rFonts w:eastAsia="Calibri"/>
          <w:b/>
          <w:szCs w:val="28"/>
          <w:shd w:val="clear" w:color="auto" w:fill="FFFFFF"/>
        </w:rPr>
        <w:t xml:space="preserve">: </w:t>
      </w:r>
      <w:r w:rsidR="00954025" w:rsidRPr="003518C4">
        <w:rPr>
          <w:rFonts w:eastAsia="Calibri"/>
          <w:szCs w:val="28"/>
        </w:rPr>
        <w:t>Theo quy định của Bảo hiểm xã hội Việt Nam.</w:t>
      </w:r>
    </w:p>
    <w:p w14:paraId="7C13B4B5" w14:textId="77777777" w:rsidR="00D16DC0" w:rsidRPr="009D24D2" w:rsidRDefault="00D16DC0" w:rsidP="00954025">
      <w:pPr>
        <w:tabs>
          <w:tab w:val="left" w:pos="1134"/>
          <w:tab w:val="left" w:pos="1276"/>
        </w:tabs>
        <w:spacing w:before="100" w:after="100" w:line="240" w:lineRule="auto"/>
        <w:ind w:firstLine="567"/>
        <w:rPr>
          <w:rFonts w:eastAsia="Times New Roman"/>
          <w:szCs w:val="28"/>
        </w:rPr>
      </w:pPr>
      <w:r w:rsidRPr="009D24D2">
        <w:rPr>
          <w:rFonts w:eastAsia="Times New Roman"/>
          <w:b/>
          <w:szCs w:val="28"/>
        </w:rPr>
        <w:t>b) Số lượng hồ sơ:</w:t>
      </w:r>
      <w:r w:rsidRPr="009D24D2">
        <w:rPr>
          <w:rFonts w:eastAsia="Times New Roman"/>
          <w:szCs w:val="28"/>
        </w:rPr>
        <w:t xml:space="preserve"> 01 bộ.</w:t>
      </w:r>
    </w:p>
    <w:p w14:paraId="1B087559" w14:textId="77777777" w:rsidR="00D16DC0" w:rsidRPr="009D24D2" w:rsidRDefault="00D16DC0" w:rsidP="00954025">
      <w:pPr>
        <w:numPr>
          <w:ilvl w:val="1"/>
          <w:numId w:val="14"/>
        </w:numPr>
        <w:tabs>
          <w:tab w:val="left" w:pos="1134"/>
          <w:tab w:val="left" w:pos="1276"/>
        </w:tabs>
        <w:spacing w:before="100" w:after="100" w:line="240" w:lineRule="auto"/>
        <w:ind w:left="0" w:firstLine="567"/>
        <w:jc w:val="left"/>
        <w:rPr>
          <w:rFonts w:eastAsia="Calibri"/>
          <w:szCs w:val="28"/>
        </w:rPr>
      </w:pPr>
      <w:r w:rsidRPr="009D24D2">
        <w:rPr>
          <w:rFonts w:eastAsia="Calibri"/>
          <w:b/>
          <w:szCs w:val="28"/>
        </w:rPr>
        <w:t xml:space="preserve">Đối tượng thực hiện thủ tục hành chính: </w:t>
      </w:r>
      <w:r w:rsidRPr="009D24D2">
        <w:rPr>
          <w:rFonts w:eastAsia="Calibri"/>
          <w:szCs w:val="28"/>
        </w:rPr>
        <w:t xml:space="preserve">Người </w:t>
      </w:r>
      <w:r w:rsidR="00954025" w:rsidRPr="003518C4">
        <w:rPr>
          <w:rFonts w:eastAsia="Calibri"/>
          <w:szCs w:val="28"/>
        </w:rPr>
        <w:t>sử dụng lao động</w:t>
      </w:r>
    </w:p>
    <w:p w14:paraId="2E8A98E5" w14:textId="77777777" w:rsidR="00D16DC0" w:rsidRPr="009D24D2" w:rsidRDefault="00D16DC0" w:rsidP="00954025">
      <w:pPr>
        <w:numPr>
          <w:ilvl w:val="1"/>
          <w:numId w:val="14"/>
        </w:numPr>
        <w:tabs>
          <w:tab w:val="left" w:pos="1134"/>
          <w:tab w:val="left" w:pos="1276"/>
        </w:tabs>
        <w:spacing w:before="100" w:after="100" w:line="240" w:lineRule="auto"/>
        <w:ind w:left="0" w:firstLine="567"/>
        <w:jc w:val="left"/>
        <w:rPr>
          <w:rFonts w:eastAsia="Calibri"/>
          <w:szCs w:val="28"/>
        </w:rPr>
      </w:pPr>
      <w:r w:rsidRPr="009D24D2">
        <w:rPr>
          <w:rFonts w:eastAsia="Calibri"/>
          <w:b/>
          <w:szCs w:val="28"/>
        </w:rPr>
        <w:t>Cơ quan giải quyết thủ tục hành chính</w:t>
      </w:r>
      <w:r w:rsidR="00954025" w:rsidRPr="003518C4">
        <w:rPr>
          <w:rFonts w:eastAsia="Calibri"/>
          <w:b/>
          <w:szCs w:val="28"/>
        </w:rPr>
        <w:t xml:space="preserve">: </w:t>
      </w:r>
      <w:r w:rsidR="00954025" w:rsidRPr="003518C4">
        <w:rPr>
          <w:rFonts w:eastAsia="Calibri"/>
          <w:szCs w:val="28"/>
        </w:rPr>
        <w:t>Cơ quan bảo hiểm xã hội</w:t>
      </w:r>
    </w:p>
    <w:p w14:paraId="16186090" w14:textId="77777777" w:rsidR="00D16DC0" w:rsidRPr="009D24D2" w:rsidRDefault="00D16DC0" w:rsidP="00954025">
      <w:pPr>
        <w:numPr>
          <w:ilvl w:val="1"/>
          <w:numId w:val="14"/>
        </w:numPr>
        <w:tabs>
          <w:tab w:val="left" w:pos="1134"/>
          <w:tab w:val="left" w:pos="1276"/>
        </w:tabs>
        <w:spacing w:before="100" w:after="100" w:line="240" w:lineRule="auto"/>
        <w:ind w:left="0" w:firstLine="567"/>
        <w:jc w:val="left"/>
        <w:rPr>
          <w:rFonts w:eastAsia="Calibri"/>
          <w:szCs w:val="28"/>
        </w:rPr>
      </w:pPr>
      <w:r w:rsidRPr="009D24D2">
        <w:rPr>
          <w:rFonts w:eastAsia="Calibri"/>
          <w:b/>
          <w:szCs w:val="28"/>
        </w:rPr>
        <w:t xml:space="preserve">Kết quả thực hiện thủ tục hành chính: </w:t>
      </w:r>
      <w:r w:rsidR="00954025" w:rsidRPr="003518C4">
        <w:rPr>
          <w:rFonts w:eastAsia="Calibri"/>
          <w:szCs w:val="28"/>
          <w:shd w:val="clear" w:color="auto" w:fill="FFFFFF"/>
        </w:rPr>
        <w:t>Người lao động tham gia đóng bảo hiểm thất nghiệp.</w:t>
      </w:r>
    </w:p>
    <w:p w14:paraId="403D1FD9" w14:textId="77777777" w:rsidR="00D16DC0" w:rsidRPr="00BC4927" w:rsidRDefault="00D16DC0" w:rsidP="00954025">
      <w:pPr>
        <w:numPr>
          <w:ilvl w:val="1"/>
          <w:numId w:val="14"/>
        </w:numPr>
        <w:tabs>
          <w:tab w:val="left" w:pos="1134"/>
          <w:tab w:val="left" w:pos="1276"/>
        </w:tabs>
        <w:spacing w:before="100" w:after="100" w:line="240" w:lineRule="auto"/>
        <w:ind w:left="0" w:firstLine="567"/>
        <w:jc w:val="left"/>
        <w:rPr>
          <w:rFonts w:eastAsia="Times New Roman"/>
          <w:szCs w:val="28"/>
          <w:lang w:val="en-US"/>
        </w:rPr>
      </w:pPr>
      <w:r w:rsidRPr="00BC4927">
        <w:rPr>
          <w:rFonts w:eastAsia="Times New Roman"/>
          <w:b/>
          <w:szCs w:val="28"/>
          <w:lang w:val="en-US"/>
        </w:rPr>
        <w:t xml:space="preserve">Phí, lệ phí: </w:t>
      </w:r>
      <w:r w:rsidRPr="00BC4927">
        <w:rPr>
          <w:rFonts w:eastAsia="Times New Roman"/>
          <w:szCs w:val="28"/>
          <w:lang w:val="en-US"/>
        </w:rPr>
        <w:t>Không.</w:t>
      </w:r>
    </w:p>
    <w:p w14:paraId="03FB8FC4" w14:textId="77777777" w:rsidR="00D16DC0" w:rsidRPr="00954025" w:rsidRDefault="00D16DC0" w:rsidP="00954025">
      <w:pPr>
        <w:pStyle w:val="ListParagraph"/>
        <w:numPr>
          <w:ilvl w:val="1"/>
          <w:numId w:val="14"/>
        </w:numPr>
        <w:tabs>
          <w:tab w:val="left" w:pos="1134"/>
          <w:tab w:val="left" w:pos="1276"/>
        </w:tabs>
        <w:spacing w:before="100" w:after="100" w:line="240" w:lineRule="auto"/>
        <w:contextualSpacing w:val="0"/>
        <w:rPr>
          <w:rFonts w:eastAsia="Calibri"/>
          <w:szCs w:val="28"/>
          <w:lang w:val="en-US"/>
        </w:rPr>
      </w:pPr>
      <w:r w:rsidRPr="00954025">
        <w:rPr>
          <w:rFonts w:eastAsia="Times New Roman"/>
          <w:b/>
          <w:szCs w:val="28"/>
          <w:lang w:val="en-US"/>
        </w:rPr>
        <w:t>Tên mẫu đơn, mẫu tờ khai</w:t>
      </w:r>
      <w:r w:rsidR="00954025" w:rsidRPr="00954025">
        <w:rPr>
          <w:rFonts w:eastAsia="Times New Roman"/>
          <w:b/>
          <w:szCs w:val="28"/>
          <w:lang w:val="en-US"/>
        </w:rPr>
        <w:t xml:space="preserve">: </w:t>
      </w:r>
      <w:r w:rsidR="00954025" w:rsidRPr="00954025">
        <w:rPr>
          <w:rFonts w:eastAsia="Calibri"/>
          <w:szCs w:val="28"/>
          <w:lang w:val="en-US"/>
        </w:rPr>
        <w:t>Theo quy định của Bảo hiểm xã hội Việt Nam.</w:t>
      </w:r>
    </w:p>
    <w:p w14:paraId="64C71410" w14:textId="77777777" w:rsidR="00954025" w:rsidRDefault="00D16DC0" w:rsidP="00954025">
      <w:pPr>
        <w:numPr>
          <w:ilvl w:val="1"/>
          <w:numId w:val="14"/>
        </w:numPr>
        <w:tabs>
          <w:tab w:val="left" w:pos="1134"/>
          <w:tab w:val="left" w:pos="1276"/>
        </w:tabs>
        <w:spacing w:before="100" w:after="100" w:line="240" w:lineRule="auto"/>
        <w:ind w:left="0" w:firstLine="567"/>
        <w:jc w:val="left"/>
        <w:rPr>
          <w:rFonts w:eastAsia="Calibri"/>
          <w:b/>
          <w:szCs w:val="28"/>
          <w:lang w:val="en-US"/>
        </w:rPr>
      </w:pPr>
      <w:r w:rsidRPr="00BC4927">
        <w:rPr>
          <w:rFonts w:eastAsia="Calibri"/>
          <w:b/>
          <w:szCs w:val="28"/>
          <w:lang w:val="en-US"/>
        </w:rPr>
        <w:t>Yêu cầu, điều kiện thực hiện thủ tục hành chính</w:t>
      </w:r>
    </w:p>
    <w:p w14:paraId="44599D0D" w14:textId="77777777" w:rsidR="00954025" w:rsidRDefault="00954025" w:rsidP="00954025">
      <w:pPr>
        <w:tabs>
          <w:tab w:val="left" w:pos="1134"/>
          <w:tab w:val="left" w:pos="1276"/>
        </w:tabs>
        <w:spacing w:before="100" w:after="100" w:line="240" w:lineRule="auto"/>
        <w:ind w:firstLine="567"/>
        <w:jc w:val="left"/>
        <w:rPr>
          <w:szCs w:val="28"/>
        </w:rPr>
      </w:pPr>
      <w:r w:rsidRPr="00954025">
        <w:rPr>
          <w:szCs w:val="28"/>
        </w:rPr>
        <w:t>Người sử dụng lao động tham gia bảo hiểm thất nghiệp bao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gia đình, hộ kinh doanh, tổ hợp tác, tổ chức khác và cá nhân có thuê mướn, sử dụng lao động theo hợp đồng làm việc hoặc hợp đồng lao động quy định tại khoản 1 Điều 43 của Luật Việc làm.</w:t>
      </w:r>
    </w:p>
    <w:p w14:paraId="3CEAE380" w14:textId="77777777" w:rsidR="00D16DC0" w:rsidRPr="003518C4" w:rsidRDefault="00D16DC0" w:rsidP="00954025">
      <w:pPr>
        <w:pStyle w:val="ListParagraph"/>
        <w:numPr>
          <w:ilvl w:val="1"/>
          <w:numId w:val="14"/>
        </w:numPr>
        <w:tabs>
          <w:tab w:val="left" w:pos="1134"/>
          <w:tab w:val="left" w:pos="1276"/>
        </w:tabs>
        <w:spacing w:before="100" w:after="100" w:line="240" w:lineRule="auto"/>
        <w:jc w:val="left"/>
        <w:rPr>
          <w:rFonts w:eastAsia="Calibri"/>
          <w:b/>
          <w:szCs w:val="28"/>
        </w:rPr>
      </w:pPr>
      <w:r w:rsidRPr="003518C4">
        <w:rPr>
          <w:rFonts w:eastAsia="Times New Roman"/>
          <w:b/>
          <w:szCs w:val="28"/>
        </w:rPr>
        <w:t>Căn cứ pháp lý của thủ tục hành chính</w:t>
      </w:r>
    </w:p>
    <w:p w14:paraId="1A266EEF" w14:textId="77777777" w:rsidR="00954025" w:rsidRPr="006545E5" w:rsidRDefault="00954025" w:rsidP="00954025">
      <w:pPr>
        <w:spacing w:before="160" w:after="160" w:line="400" w:lineRule="exact"/>
        <w:ind w:firstLine="567"/>
        <w:rPr>
          <w:szCs w:val="28"/>
        </w:rPr>
      </w:pPr>
      <w:r w:rsidRPr="006545E5">
        <w:rPr>
          <w:szCs w:val="28"/>
        </w:rPr>
        <w:t>- Luật Việc làm ngày 16 tháng 11 năm 2013;</w:t>
      </w:r>
    </w:p>
    <w:p w14:paraId="4F7A7A99" w14:textId="77777777" w:rsidR="00954025" w:rsidRPr="006545E5" w:rsidRDefault="00954025" w:rsidP="00954025">
      <w:pPr>
        <w:spacing w:before="160" w:after="160" w:line="400" w:lineRule="exact"/>
        <w:ind w:firstLine="567"/>
        <w:rPr>
          <w:szCs w:val="28"/>
        </w:rPr>
      </w:pPr>
      <w:r w:rsidRPr="006545E5">
        <w:rPr>
          <w:szCs w:val="28"/>
        </w:rPr>
        <w:t>- Nghị định số 28/2015/NĐ-CP ngày 12/3/2015 của Chính phủ quy định chi tiết thi hành một số điều của Luật Việc làm về bảo hiểm thất nghiệp;</w:t>
      </w:r>
    </w:p>
    <w:p w14:paraId="28BE2D21" w14:textId="77777777" w:rsidR="00954025" w:rsidRPr="003518C4" w:rsidRDefault="00954025" w:rsidP="00954025">
      <w:pPr>
        <w:spacing w:before="160" w:after="160" w:line="400" w:lineRule="exact"/>
        <w:ind w:firstLine="567"/>
        <w:rPr>
          <w:i/>
          <w:szCs w:val="28"/>
        </w:rPr>
      </w:pPr>
      <w:r w:rsidRPr="006545E5">
        <w:rPr>
          <w:szCs w:val="28"/>
        </w:rPr>
        <w:t>- Nghị định số 61/2020/NĐ-CP ngày 29/5/2020 của Chính phủ sửa đổi, bổ sung một số điều của Nghị định số 28/2015/NĐ-CP ngày 12/3/2015 của Chính phủ quy định chi tiết thi hành một số điều của Luật Việc làm về bảo hiểm thất nghiệp</w:t>
      </w:r>
      <w:r w:rsidRPr="003518C4">
        <w:rPr>
          <w:szCs w:val="28"/>
        </w:rPr>
        <w:t>.</w:t>
      </w:r>
    </w:p>
    <w:p w14:paraId="22D613E5" w14:textId="77777777" w:rsidR="00954025" w:rsidRPr="006545E5" w:rsidRDefault="00954025" w:rsidP="00954025">
      <w:pPr>
        <w:spacing w:before="160" w:after="160" w:line="400" w:lineRule="exact"/>
        <w:ind w:firstLine="567"/>
        <w:rPr>
          <w:szCs w:val="28"/>
        </w:rPr>
      </w:pPr>
      <w:r w:rsidRPr="006545E5">
        <w:rPr>
          <w:szCs w:val="28"/>
        </w:rPr>
        <w:t>- Thông tư số 28/2015/TT-BLĐTBXH ngày 31/7/2015 của Bộ Lao động – Thương binh và Xã hội hướng dẫn thực hiện Điều 52 của Luật Việc làm và một số điều của Nghị định số 28/2015/NĐ-CP ngày 12/3/2015.</w:t>
      </w:r>
    </w:p>
    <w:p w14:paraId="09C607EB" w14:textId="77777777" w:rsidR="00954025" w:rsidRPr="006545E5" w:rsidRDefault="00954025" w:rsidP="00954025">
      <w:pPr>
        <w:spacing w:before="160" w:after="160" w:line="400" w:lineRule="exact"/>
        <w:ind w:firstLine="567"/>
        <w:rPr>
          <w:szCs w:val="28"/>
        </w:rPr>
      </w:pPr>
      <w:r w:rsidRPr="006545E5">
        <w:rPr>
          <w:szCs w:val="28"/>
        </w:rPr>
        <w:lastRenderedPageBreak/>
        <w:t>- Thông tư số 15/2023/TT-BLĐTBXH ngày 29/12/2023 của Bộ Lao động – Thương binh và Xã hội sửa đổi, bổ sung Thông tư số 28/2015/TT-BLĐTBXH ngày 31/7/2015.</w:t>
      </w:r>
    </w:p>
    <w:p w14:paraId="0D2A800A" w14:textId="77777777" w:rsidR="00D16DC0" w:rsidRPr="00BC4927" w:rsidRDefault="00D16DC0" w:rsidP="00D16DC0">
      <w:pPr>
        <w:numPr>
          <w:ilvl w:val="1"/>
          <w:numId w:val="14"/>
        </w:numPr>
        <w:shd w:val="clear" w:color="auto" w:fill="FFFFFF"/>
        <w:tabs>
          <w:tab w:val="left" w:pos="1134"/>
          <w:tab w:val="left" w:pos="1276"/>
        </w:tabs>
        <w:spacing w:before="100" w:after="100" w:line="240" w:lineRule="auto"/>
        <w:ind w:left="0" w:firstLine="567"/>
        <w:contextualSpacing/>
        <w:jc w:val="left"/>
        <w:textAlignment w:val="baseline"/>
        <w:rPr>
          <w:rFonts w:eastAsia="Calibri"/>
          <w:b/>
          <w:szCs w:val="28"/>
          <w:lang w:val="en-US" w:eastAsia="vi-VN"/>
        </w:rPr>
      </w:pPr>
      <w:r w:rsidRPr="00BC4927">
        <w:rPr>
          <w:rFonts w:eastAsia="Calibri"/>
          <w:b/>
          <w:szCs w:val="28"/>
          <w:lang w:val="en-US" w:eastAsia="vi-VN"/>
        </w:rPr>
        <w:t>Lưu hồ sơ (ISO)</w:t>
      </w:r>
    </w:p>
    <w:tbl>
      <w:tblPr>
        <w:tblW w:w="14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3"/>
        <w:gridCol w:w="2313"/>
        <w:gridCol w:w="1958"/>
      </w:tblGrid>
      <w:tr w:rsidR="00D16DC0" w:rsidRPr="00BC4927" w14:paraId="7A7B3E0A" w14:textId="77777777" w:rsidTr="00BF20BC">
        <w:trPr>
          <w:jc w:val="center"/>
        </w:trPr>
        <w:tc>
          <w:tcPr>
            <w:tcW w:w="9973" w:type="dxa"/>
          </w:tcPr>
          <w:p w14:paraId="327EC5EB" w14:textId="77777777" w:rsidR="00D16DC0" w:rsidRPr="00BC4927" w:rsidRDefault="00D16DC0" w:rsidP="00BF20BC">
            <w:pPr>
              <w:spacing w:line="240" w:lineRule="auto"/>
              <w:jc w:val="center"/>
              <w:textAlignment w:val="baseline"/>
              <w:rPr>
                <w:rFonts w:eastAsia="Calibri"/>
                <w:b/>
                <w:szCs w:val="28"/>
                <w:lang w:val="en-US" w:eastAsia="vi-VN"/>
              </w:rPr>
            </w:pPr>
            <w:r w:rsidRPr="00BC4927">
              <w:rPr>
                <w:rFonts w:eastAsia="Calibri"/>
                <w:b/>
                <w:szCs w:val="28"/>
                <w:lang w:val="en-US" w:eastAsia="vi-VN"/>
              </w:rPr>
              <w:t>Thành phần hồ sơ lưu</w:t>
            </w:r>
          </w:p>
        </w:tc>
        <w:tc>
          <w:tcPr>
            <w:tcW w:w="2313" w:type="dxa"/>
          </w:tcPr>
          <w:p w14:paraId="447B8A62" w14:textId="77777777" w:rsidR="00D16DC0" w:rsidRPr="00BC4927" w:rsidRDefault="00D16DC0" w:rsidP="00BF20BC">
            <w:pPr>
              <w:spacing w:line="240" w:lineRule="auto"/>
              <w:jc w:val="center"/>
              <w:textAlignment w:val="baseline"/>
              <w:rPr>
                <w:rFonts w:eastAsia="Calibri"/>
                <w:b/>
                <w:szCs w:val="28"/>
                <w:lang w:val="en-US" w:eastAsia="vi-VN"/>
              </w:rPr>
            </w:pPr>
            <w:r w:rsidRPr="00BC4927">
              <w:rPr>
                <w:rFonts w:eastAsia="Calibri"/>
                <w:b/>
                <w:szCs w:val="28"/>
                <w:lang w:val="en-US" w:eastAsia="vi-VN"/>
              </w:rPr>
              <w:t>Bộ phận lưu trữ</w:t>
            </w:r>
          </w:p>
        </w:tc>
        <w:tc>
          <w:tcPr>
            <w:tcW w:w="1958" w:type="dxa"/>
          </w:tcPr>
          <w:p w14:paraId="5278AC6A" w14:textId="77777777" w:rsidR="00D16DC0" w:rsidRPr="00BC4927" w:rsidRDefault="00D16DC0" w:rsidP="00BF20BC">
            <w:pPr>
              <w:spacing w:line="240" w:lineRule="auto"/>
              <w:jc w:val="center"/>
              <w:textAlignment w:val="baseline"/>
              <w:rPr>
                <w:rFonts w:eastAsia="Calibri"/>
                <w:b/>
                <w:szCs w:val="28"/>
                <w:lang w:val="en-US" w:eastAsia="vi-VN"/>
              </w:rPr>
            </w:pPr>
            <w:r w:rsidRPr="00BC4927">
              <w:rPr>
                <w:rFonts w:eastAsia="Calibri"/>
                <w:b/>
                <w:szCs w:val="28"/>
                <w:lang w:val="en-US" w:eastAsia="vi-VN"/>
              </w:rPr>
              <w:t>Thời gian lưu</w:t>
            </w:r>
          </w:p>
        </w:tc>
      </w:tr>
      <w:tr w:rsidR="00D16DC0" w:rsidRPr="00BC4927" w14:paraId="2948B870" w14:textId="77777777" w:rsidTr="00BF20BC">
        <w:trPr>
          <w:jc w:val="center"/>
        </w:trPr>
        <w:tc>
          <w:tcPr>
            <w:tcW w:w="9973" w:type="dxa"/>
          </w:tcPr>
          <w:p w14:paraId="6507F62C" w14:textId="77777777" w:rsidR="00D16DC0" w:rsidRPr="009D24D2" w:rsidRDefault="00D16DC0" w:rsidP="00BF20BC">
            <w:pPr>
              <w:spacing w:line="240" w:lineRule="auto"/>
              <w:textAlignment w:val="baseline"/>
              <w:rPr>
                <w:rFonts w:eastAsia="Calibri"/>
                <w:szCs w:val="28"/>
                <w:lang w:eastAsia="vi-VN"/>
              </w:rPr>
            </w:pPr>
            <w:r w:rsidRPr="009D24D2">
              <w:rPr>
                <w:rFonts w:eastAsia="Calibri"/>
                <w:szCs w:val="28"/>
                <w:lang w:eastAsia="vi-VN"/>
              </w:rPr>
              <w:t>- Như mục 1.2;</w:t>
            </w:r>
          </w:p>
          <w:p w14:paraId="7D7BEF97" w14:textId="77777777" w:rsidR="00D16DC0" w:rsidRPr="009D24D2" w:rsidRDefault="00D16DC0" w:rsidP="00BF20BC">
            <w:pPr>
              <w:spacing w:line="240" w:lineRule="auto"/>
              <w:textAlignment w:val="baseline"/>
              <w:rPr>
                <w:rFonts w:eastAsia="Calibri"/>
                <w:szCs w:val="28"/>
                <w:lang w:eastAsia="vi-VN"/>
              </w:rPr>
            </w:pPr>
            <w:r w:rsidRPr="009D24D2">
              <w:rPr>
                <w:rFonts w:eastAsia="Calibri"/>
                <w:szCs w:val="28"/>
                <w:lang w:eastAsia="vi-VN"/>
              </w:rPr>
              <w:t>- Kết quả giải quyết thủ tục hành chính hoặc Văn bản trả lời của đơn vị đối với hồ sơ không đáp ứng yêu cầu, điều kiện.</w:t>
            </w:r>
          </w:p>
        </w:tc>
        <w:tc>
          <w:tcPr>
            <w:tcW w:w="2313" w:type="dxa"/>
            <w:vMerge w:val="restart"/>
            <w:vAlign w:val="center"/>
          </w:tcPr>
          <w:p w14:paraId="16A36C7E" w14:textId="77777777" w:rsidR="00D16DC0" w:rsidRPr="003518C4" w:rsidRDefault="00954025" w:rsidP="00BF20BC">
            <w:pPr>
              <w:spacing w:line="240" w:lineRule="auto"/>
              <w:jc w:val="center"/>
              <w:textAlignment w:val="baseline"/>
              <w:rPr>
                <w:rFonts w:eastAsia="Calibri"/>
                <w:szCs w:val="28"/>
                <w:lang w:eastAsia="vi-VN"/>
              </w:rPr>
            </w:pPr>
            <w:r w:rsidRPr="003518C4">
              <w:rPr>
                <w:rFonts w:eastAsia="Calibri"/>
                <w:szCs w:val="28"/>
                <w:lang w:eastAsia="vi-VN"/>
              </w:rPr>
              <w:t>Cơ quan Bảo hiểm xã hội</w:t>
            </w:r>
          </w:p>
        </w:tc>
        <w:tc>
          <w:tcPr>
            <w:tcW w:w="1958" w:type="dxa"/>
            <w:vMerge w:val="restart"/>
            <w:vAlign w:val="center"/>
          </w:tcPr>
          <w:p w14:paraId="1685E256" w14:textId="77777777" w:rsidR="00D16DC0" w:rsidRPr="009D24D2" w:rsidRDefault="00D16DC0" w:rsidP="00BF20BC">
            <w:pPr>
              <w:spacing w:line="240" w:lineRule="auto"/>
              <w:jc w:val="center"/>
              <w:textAlignment w:val="baseline"/>
              <w:rPr>
                <w:rFonts w:eastAsia="Calibri"/>
                <w:szCs w:val="28"/>
                <w:lang w:eastAsia="vi-VN"/>
              </w:rPr>
            </w:pPr>
            <w:r w:rsidRPr="009D24D2">
              <w:rPr>
                <w:rFonts w:eastAsia="Calibri"/>
                <w:szCs w:val="28"/>
                <w:lang w:eastAsia="vi-VN"/>
              </w:rPr>
              <w:t>Từ 05 năm, sau đó chuyển hồ sơ đến kho lưu trữ của Tỉnh.</w:t>
            </w:r>
          </w:p>
        </w:tc>
      </w:tr>
      <w:tr w:rsidR="00D16DC0" w:rsidRPr="00BC4927" w14:paraId="717D43EC" w14:textId="77777777" w:rsidTr="00BF20BC">
        <w:trPr>
          <w:jc w:val="center"/>
        </w:trPr>
        <w:tc>
          <w:tcPr>
            <w:tcW w:w="9973" w:type="dxa"/>
          </w:tcPr>
          <w:p w14:paraId="65D86731" w14:textId="77777777" w:rsidR="00D16DC0" w:rsidRPr="009D24D2" w:rsidRDefault="00D16DC0" w:rsidP="00BF20BC">
            <w:pPr>
              <w:spacing w:line="240" w:lineRule="auto"/>
              <w:textAlignment w:val="baseline"/>
              <w:rPr>
                <w:rFonts w:eastAsia="Calibri"/>
                <w:szCs w:val="28"/>
                <w:lang w:eastAsia="vi-VN"/>
              </w:rPr>
            </w:pPr>
            <w:r w:rsidRPr="009D24D2">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313" w:type="dxa"/>
            <w:vMerge/>
            <w:vAlign w:val="center"/>
          </w:tcPr>
          <w:p w14:paraId="39FBC015" w14:textId="77777777" w:rsidR="00D16DC0" w:rsidRPr="009D24D2" w:rsidRDefault="00D16DC0" w:rsidP="00BF20BC">
            <w:pPr>
              <w:spacing w:line="240" w:lineRule="auto"/>
              <w:textAlignment w:val="baseline"/>
              <w:rPr>
                <w:rFonts w:eastAsia="Calibri"/>
                <w:szCs w:val="28"/>
                <w:lang w:eastAsia="vi-VN"/>
              </w:rPr>
            </w:pPr>
          </w:p>
        </w:tc>
        <w:tc>
          <w:tcPr>
            <w:tcW w:w="1958" w:type="dxa"/>
            <w:vMerge/>
          </w:tcPr>
          <w:p w14:paraId="0A04B415" w14:textId="77777777" w:rsidR="00D16DC0" w:rsidRPr="009D24D2" w:rsidRDefault="00D16DC0" w:rsidP="00BF20BC">
            <w:pPr>
              <w:spacing w:line="240" w:lineRule="auto"/>
              <w:textAlignment w:val="baseline"/>
              <w:rPr>
                <w:rFonts w:eastAsia="Calibri"/>
                <w:szCs w:val="28"/>
                <w:lang w:eastAsia="vi-VN"/>
              </w:rPr>
            </w:pPr>
          </w:p>
        </w:tc>
      </w:tr>
    </w:tbl>
    <w:p w14:paraId="6DA39AB6" w14:textId="77777777" w:rsidR="00D16DC0" w:rsidRPr="009D24D2" w:rsidRDefault="00D16DC0" w:rsidP="00D16DC0">
      <w:pPr>
        <w:spacing w:before="120" w:after="120" w:line="240" w:lineRule="auto"/>
        <w:jc w:val="left"/>
        <w:rPr>
          <w:rFonts w:eastAsia="Calibri"/>
          <w:b/>
          <w:bCs/>
          <w:sz w:val="26"/>
          <w:szCs w:val="26"/>
        </w:rPr>
        <w:sectPr w:rsidR="00D16DC0" w:rsidRPr="009D24D2" w:rsidSect="00D26993">
          <w:headerReference w:type="default" r:id="rId8"/>
          <w:headerReference w:type="first" r:id="rId9"/>
          <w:pgSz w:w="16840" w:h="11907" w:orient="landscape" w:code="9"/>
          <w:pgMar w:top="1134" w:right="1021" w:bottom="426" w:left="1871" w:header="709" w:footer="709" w:gutter="0"/>
          <w:cols w:space="720"/>
          <w:titlePg/>
          <w:docGrid w:linePitch="360"/>
        </w:sectPr>
      </w:pPr>
    </w:p>
    <w:p w14:paraId="3EDA0FEB" w14:textId="77777777" w:rsidR="009000FE" w:rsidRPr="00074C8F" w:rsidRDefault="009000FE" w:rsidP="00362495">
      <w:pPr>
        <w:keepNext/>
        <w:spacing w:before="120" w:after="120" w:line="240" w:lineRule="auto"/>
        <w:ind w:firstLine="567"/>
        <w:outlineLvl w:val="1"/>
        <w:rPr>
          <w:rFonts w:asciiTheme="majorHAnsi" w:eastAsia="Times New Roman" w:hAnsiTheme="majorHAnsi" w:cstheme="majorHAnsi"/>
          <w:i/>
          <w:iCs/>
          <w:szCs w:val="28"/>
          <w:lang w:val="en-US"/>
        </w:rPr>
      </w:pPr>
    </w:p>
    <w:sectPr w:rsidR="009000FE" w:rsidRPr="00074C8F" w:rsidSect="00362495">
      <w:headerReference w:type="even" r:id="rId10"/>
      <w:footerReference w:type="even" r:id="rId11"/>
      <w:footerReference w:type="default" r:id="rId12"/>
      <w:headerReference w:type="first" r:id="rId13"/>
      <w:footerReference w:type="first" r:id="rId14"/>
      <w:pgSz w:w="16840" w:h="11907" w:orient="landscape" w:code="9"/>
      <w:pgMar w:top="1134" w:right="1021" w:bottom="426" w:left="187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529128"/>
      <w:docPartObj>
        <w:docPartGallery w:val="Page Numbers (Top of Page)"/>
        <w:docPartUnique/>
      </w:docPartObj>
    </w:sdtPr>
    <w:sdtEndPr>
      <w:rPr>
        <w:szCs w:val="28"/>
      </w:rPr>
    </w:sdtEndPr>
    <w:sdtContent>
      <w:p w14:paraId="435428EA" w14:textId="77777777" w:rsidR="00AB1EC3" w:rsidRPr="00EB4AD2" w:rsidRDefault="00AB1EC3">
        <w:pPr>
          <w:pStyle w:val="Header"/>
          <w:jc w:val="center"/>
          <w:rPr>
            <w:szCs w:val="28"/>
          </w:rPr>
        </w:pPr>
        <w:r w:rsidRPr="00EB4AD2">
          <w:rPr>
            <w:noProof w:val="0"/>
            <w:szCs w:val="28"/>
          </w:rPr>
          <w:fldChar w:fldCharType="begin"/>
        </w:r>
        <w:r w:rsidRPr="00EB4AD2">
          <w:rPr>
            <w:szCs w:val="28"/>
          </w:rPr>
          <w:instrText xml:space="preserve"> PAGE   \* MERGEFORMAT </w:instrText>
        </w:r>
        <w:r w:rsidRPr="00EB4AD2">
          <w:rPr>
            <w:noProof w:val="0"/>
            <w:szCs w:val="28"/>
          </w:rPr>
          <w:fldChar w:fldCharType="separate"/>
        </w:r>
        <w:r w:rsidR="00D00547">
          <w:rPr>
            <w:szCs w:val="28"/>
          </w:rPr>
          <w:t>79</w:t>
        </w:r>
        <w:r w:rsidR="00D00547">
          <w:rPr>
            <w:szCs w:val="28"/>
          </w:rPr>
          <w:t>9</w:t>
        </w:r>
        <w:r w:rsidRPr="00EB4AD2">
          <w:rPr>
            <w:szCs w:val="28"/>
          </w:rPr>
          <w:fldChar w:fldCharType="end"/>
        </w:r>
      </w:p>
    </w:sdtContent>
  </w:sdt>
  <w:p w14:paraId="0EB2765F" w14:textId="77777777" w:rsidR="00AB1EC3" w:rsidRDefault="00AB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722129"/>
      <w:docPartObj>
        <w:docPartGallery w:val="Page Numbers (Top of Page)"/>
        <w:docPartUnique/>
      </w:docPartObj>
    </w:sdtPr>
    <w:sdtEndPr/>
    <w:sdtContent>
      <w:p w14:paraId="4A8F5F1D"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82</w:t>
        </w:r>
        <w:r w:rsidR="00D00547">
          <w:t>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w:t>
        </w:r>
        <w:r w:rsidR="00D00547">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27CA"/>
    <w:rsid w:val="00053B56"/>
    <w:rsid w:val="00055055"/>
    <w:rsid w:val="000553F0"/>
    <w:rsid w:val="00063624"/>
    <w:rsid w:val="0006407F"/>
    <w:rsid w:val="00066169"/>
    <w:rsid w:val="00067AA6"/>
    <w:rsid w:val="00070CF0"/>
    <w:rsid w:val="00070FD2"/>
    <w:rsid w:val="0007155C"/>
    <w:rsid w:val="00071DAB"/>
    <w:rsid w:val="00074C8F"/>
    <w:rsid w:val="00075D27"/>
    <w:rsid w:val="000817F7"/>
    <w:rsid w:val="00083506"/>
    <w:rsid w:val="00087948"/>
    <w:rsid w:val="00087BC2"/>
    <w:rsid w:val="00092E08"/>
    <w:rsid w:val="00096913"/>
    <w:rsid w:val="00097A45"/>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495"/>
    <w:rsid w:val="00362B94"/>
    <w:rsid w:val="003654A3"/>
    <w:rsid w:val="00365D9C"/>
    <w:rsid w:val="003666FF"/>
    <w:rsid w:val="0036686C"/>
    <w:rsid w:val="00367906"/>
    <w:rsid w:val="00371D31"/>
    <w:rsid w:val="00373C0E"/>
    <w:rsid w:val="003752AE"/>
    <w:rsid w:val="003813A4"/>
    <w:rsid w:val="003826BA"/>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54B2"/>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3388"/>
    <w:rsid w:val="004E5369"/>
    <w:rsid w:val="004F0024"/>
    <w:rsid w:val="004F2160"/>
    <w:rsid w:val="004F34CB"/>
    <w:rsid w:val="004F4378"/>
    <w:rsid w:val="004F5658"/>
    <w:rsid w:val="004F6740"/>
    <w:rsid w:val="00501263"/>
    <w:rsid w:val="00501F35"/>
    <w:rsid w:val="00510E81"/>
    <w:rsid w:val="0051355D"/>
    <w:rsid w:val="00513862"/>
    <w:rsid w:val="00515F64"/>
    <w:rsid w:val="005209B1"/>
    <w:rsid w:val="00521A00"/>
    <w:rsid w:val="00526804"/>
    <w:rsid w:val="005272DC"/>
    <w:rsid w:val="00531DF4"/>
    <w:rsid w:val="005327FE"/>
    <w:rsid w:val="00541B39"/>
    <w:rsid w:val="00543A7A"/>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9F1"/>
    <w:rsid w:val="0064054B"/>
    <w:rsid w:val="00642817"/>
    <w:rsid w:val="006561CA"/>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0CA"/>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2F84"/>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2D57"/>
    <w:rsid w:val="00974A41"/>
    <w:rsid w:val="0098472A"/>
    <w:rsid w:val="009945D9"/>
    <w:rsid w:val="00996608"/>
    <w:rsid w:val="00997CDD"/>
    <w:rsid w:val="009A64CE"/>
    <w:rsid w:val="009A702A"/>
    <w:rsid w:val="009B0D8B"/>
    <w:rsid w:val="009B2F97"/>
    <w:rsid w:val="009B4E64"/>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1847"/>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3A44"/>
    <w:rsid w:val="00B87686"/>
    <w:rsid w:val="00B95591"/>
    <w:rsid w:val="00BA0218"/>
    <w:rsid w:val="00BA16D2"/>
    <w:rsid w:val="00BA1C22"/>
    <w:rsid w:val="00BA4167"/>
    <w:rsid w:val="00BA7222"/>
    <w:rsid w:val="00BB0186"/>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37A4F"/>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1EF5"/>
    <w:rsid w:val="00DA2AAA"/>
    <w:rsid w:val="00DA48BA"/>
    <w:rsid w:val="00DA631A"/>
    <w:rsid w:val="00DB3B15"/>
    <w:rsid w:val="00DB4A85"/>
    <w:rsid w:val="00DB55A1"/>
    <w:rsid w:val="00DC0E8A"/>
    <w:rsid w:val="00DC187E"/>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3923"/>
    <w:rsid w:val="00DF50E3"/>
    <w:rsid w:val="00DF5116"/>
    <w:rsid w:val="00DF57B4"/>
    <w:rsid w:val="00E02058"/>
    <w:rsid w:val="00E02A5E"/>
    <w:rsid w:val="00E02E0C"/>
    <w:rsid w:val="00E039CC"/>
    <w:rsid w:val="00E04B74"/>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122E"/>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4</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301</cp:revision>
  <dcterms:created xsi:type="dcterms:W3CDTF">2023-07-11T08:58:00Z</dcterms:created>
  <dcterms:modified xsi:type="dcterms:W3CDTF">2024-08-13T17:57:00Z</dcterms:modified>
</cp:coreProperties>
</file>